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8E2" w:rsidRDefault="00CE70A4" w:rsidP="007A28E2">
      <w:pPr>
        <w:pStyle w:val="Header"/>
        <w:tabs>
          <w:tab w:val="left" w:pos="720"/>
        </w:tabs>
        <w:ind w:left="1843"/>
        <w:jc w:val="both"/>
        <w:rPr>
          <w:sz w:val="28"/>
          <w:szCs w:val="28"/>
          <w:lang w:val="en-US"/>
        </w:rPr>
      </w:pPr>
      <w:r>
        <w:rPr>
          <w:noProof/>
          <w:sz w:val="28"/>
          <w:szCs w:val="28"/>
          <w:lang w:val="en-GB" w:eastAsia="en-GB"/>
        </w:rPr>
        <w:drawing>
          <wp:anchor distT="0" distB="0" distL="114300" distR="114300" simplePos="0" relativeHeight="251658240" behindDoc="1" locked="0" layoutInCell="1" allowOverlap="1">
            <wp:simplePos x="0" y="0"/>
            <wp:positionH relativeFrom="column">
              <wp:posOffset>4635500</wp:posOffset>
            </wp:positionH>
            <wp:positionV relativeFrom="paragraph">
              <wp:posOffset>-528955</wp:posOffset>
            </wp:positionV>
            <wp:extent cx="1511300" cy="1508257"/>
            <wp:effectExtent l="0" t="0" r="0" b="0"/>
            <wp:wrapNone/>
            <wp:docPr id="3" name="Picture 1" descr="C:\Users\mcintj\AppData\Local\Microsoft\Windows\Temporary Internet Files\Content.Outlook\E0WNJYHR\Merthyr master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intj\AppData\Local\Microsoft\Windows\Temporary Internet Files\Content.Outlook\E0WNJYHR\Merthyr master cmyk.jpg"/>
                    <pic:cNvPicPr>
                      <a:picLocks noChangeAspect="1" noChangeArrowheads="1"/>
                    </pic:cNvPicPr>
                  </pic:nvPicPr>
                  <pic:blipFill>
                    <a:blip r:embed="rId9" cstate="print"/>
                    <a:srcRect/>
                    <a:stretch>
                      <a:fillRect/>
                    </a:stretch>
                  </pic:blipFill>
                  <pic:spPr bwMode="auto">
                    <a:xfrm>
                      <a:off x="0" y="0"/>
                      <a:ext cx="1513128" cy="1510082"/>
                    </a:xfrm>
                    <a:prstGeom prst="rect">
                      <a:avLst/>
                    </a:prstGeom>
                    <a:noFill/>
                    <a:ln w="9525">
                      <a:noFill/>
                      <a:miter lim="800000"/>
                      <a:headEnd/>
                      <a:tailEnd/>
                    </a:ln>
                  </pic:spPr>
                </pic:pic>
              </a:graphicData>
            </a:graphic>
          </wp:anchor>
        </w:drawing>
      </w:r>
      <w:r w:rsidR="007A28E2">
        <w:rPr>
          <w:sz w:val="28"/>
          <w:szCs w:val="28"/>
          <w:lang w:val="en-US"/>
        </w:rPr>
        <w:t xml:space="preserve">Civic Centre, Castle Street, </w:t>
      </w:r>
    </w:p>
    <w:p w:rsidR="007A28E2" w:rsidRDefault="00A835BF" w:rsidP="007A28E2">
      <w:pPr>
        <w:pStyle w:val="Header"/>
        <w:tabs>
          <w:tab w:val="left" w:pos="720"/>
        </w:tabs>
        <w:ind w:left="1843"/>
        <w:jc w:val="both"/>
        <w:rPr>
          <w:sz w:val="28"/>
          <w:szCs w:val="28"/>
          <w:lang w:val="en-US"/>
        </w:rPr>
      </w:pPr>
      <w:r>
        <w:rPr>
          <w:sz w:val="28"/>
          <w:szCs w:val="28"/>
          <w:lang w:val="en-US"/>
        </w:rPr>
        <w:t xml:space="preserve">Merthyr Tydfil </w:t>
      </w:r>
      <w:r w:rsidR="007A28E2">
        <w:rPr>
          <w:sz w:val="28"/>
          <w:szCs w:val="28"/>
          <w:lang w:val="en-US"/>
        </w:rPr>
        <w:t>CF47 8AN</w:t>
      </w:r>
    </w:p>
    <w:p w:rsidR="007A28E2" w:rsidRDefault="007A28E2" w:rsidP="007A28E2">
      <w:pPr>
        <w:pStyle w:val="Header"/>
        <w:jc w:val="center"/>
        <w:rPr>
          <w:sz w:val="12"/>
          <w:lang w:val="en-US"/>
        </w:rPr>
      </w:pPr>
    </w:p>
    <w:p w:rsidR="007A28E2" w:rsidRDefault="007A28E2" w:rsidP="007A28E2">
      <w:pPr>
        <w:pStyle w:val="Header"/>
        <w:tabs>
          <w:tab w:val="clear" w:pos="4153"/>
          <w:tab w:val="left" w:pos="4395"/>
        </w:tabs>
        <w:ind w:left="284"/>
        <w:jc w:val="both"/>
        <w:rPr>
          <w:sz w:val="28"/>
          <w:szCs w:val="28"/>
          <w:lang w:val="en-US"/>
        </w:rPr>
      </w:pPr>
      <w:r>
        <w:rPr>
          <w:color w:val="000000"/>
          <w:sz w:val="28"/>
          <w:szCs w:val="28"/>
        </w:rPr>
        <w:t>Main Tel: 01685 725000</w:t>
      </w:r>
      <w:r>
        <w:rPr>
          <w:color w:val="000000"/>
          <w:sz w:val="28"/>
          <w:szCs w:val="28"/>
        </w:rPr>
        <w:tab/>
        <w:t>www.merthyr.gov.uk</w:t>
      </w:r>
    </w:p>
    <w:p w:rsidR="007A28E2" w:rsidRDefault="007A28E2" w:rsidP="007A28E2">
      <w:pPr>
        <w:rPr>
          <w:i/>
          <w:iCs/>
        </w:rPr>
      </w:pPr>
    </w:p>
    <w:p w:rsidR="007A28E2" w:rsidRDefault="006073C4" w:rsidP="007A28E2">
      <w:pPr>
        <w:jc w:val="center"/>
        <w:rPr>
          <w:i/>
          <w:iCs/>
        </w:rPr>
      </w:pPr>
      <w:r>
        <w:rPr>
          <w:i/>
          <w:iCs/>
        </w:rPr>
        <w:pict>
          <v:rect id="_x0000_i1025" style="width:487.3pt;height:1.5pt" o:hralign="center" o:hrstd="t" o:hrnoshade="t" o:hr="t" fillcolor="#339" stroked="f"/>
        </w:pict>
      </w:r>
    </w:p>
    <w:p w:rsidR="00E0299A" w:rsidRDefault="00E0299A" w:rsidP="00E0299A">
      <w:pPr>
        <w:pStyle w:val="Header"/>
        <w:tabs>
          <w:tab w:val="clear" w:pos="4153"/>
          <w:tab w:val="clear" w:pos="8306"/>
        </w:tabs>
        <w:jc w:val="center"/>
        <w:rPr>
          <w:b/>
          <w:bCs/>
          <w:i/>
          <w:iCs/>
          <w:sz w:val="36"/>
          <w:szCs w:val="36"/>
        </w:rPr>
      </w:pPr>
    </w:p>
    <w:p w:rsidR="00E0299A" w:rsidRPr="00CC6C5B" w:rsidRDefault="00E0299A" w:rsidP="00E0299A">
      <w:pPr>
        <w:pStyle w:val="Header"/>
        <w:tabs>
          <w:tab w:val="clear" w:pos="4153"/>
          <w:tab w:val="clear" w:pos="8306"/>
        </w:tabs>
        <w:jc w:val="center"/>
        <w:rPr>
          <w:b/>
          <w:bCs/>
          <w:i/>
          <w:iCs/>
          <w:noProof/>
          <w:sz w:val="36"/>
          <w:szCs w:val="36"/>
          <w:lang w:val="en-US"/>
        </w:rPr>
      </w:pPr>
      <w:r w:rsidRPr="00CC6C5B">
        <w:rPr>
          <w:b/>
          <w:bCs/>
          <w:i/>
          <w:iCs/>
          <w:sz w:val="36"/>
          <w:szCs w:val="36"/>
        </w:rPr>
        <w:t>FULL COUNCIL  -  INFORMATION REPORT</w:t>
      </w:r>
    </w:p>
    <w:tbl>
      <w:tblPr>
        <w:tblpPr w:leftFromText="180" w:rightFromText="180" w:vertAnchor="text" w:horzAnchor="margin" w:tblpXSpec="right" w:tblpY="5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6"/>
        <w:gridCol w:w="3883"/>
      </w:tblGrid>
      <w:tr w:rsidR="00887126" w:rsidTr="00CD22F2">
        <w:trPr>
          <w:trHeight w:val="275"/>
        </w:trPr>
        <w:tc>
          <w:tcPr>
            <w:tcW w:w="2476" w:type="dxa"/>
          </w:tcPr>
          <w:p w:rsidR="00887126" w:rsidRDefault="00887126" w:rsidP="00CD22F2">
            <w:pPr>
              <w:jc w:val="both"/>
            </w:pPr>
            <w:r>
              <w:t>Date Written</w:t>
            </w:r>
          </w:p>
        </w:tc>
        <w:tc>
          <w:tcPr>
            <w:tcW w:w="3883" w:type="dxa"/>
          </w:tcPr>
          <w:p w:rsidR="00887126" w:rsidRDefault="00E0299A" w:rsidP="00E0299A">
            <w:r>
              <w:t>26 September 2016</w:t>
            </w:r>
            <w:r w:rsidR="00D4579B">
              <w:fldChar w:fldCharType="begin"/>
            </w:r>
            <w:r w:rsidR="00887126">
              <w:instrText xml:space="preserve"> </w:instrText>
            </w:r>
            <w:r w:rsidR="00D4579B">
              <w:fldChar w:fldCharType="separate"/>
            </w:r>
            <w:r w:rsidR="00887126">
              <w:rPr>
                <w:b/>
                <w:bCs/>
                <w:lang w:val="en-US"/>
              </w:rPr>
              <w:t>Error! Bookmark not defined.</w:t>
            </w:r>
            <w:r w:rsidR="00D4579B">
              <w:fldChar w:fldCharType="end"/>
            </w:r>
          </w:p>
        </w:tc>
      </w:tr>
      <w:tr w:rsidR="00887126" w:rsidTr="00CD22F2">
        <w:trPr>
          <w:trHeight w:val="255"/>
        </w:trPr>
        <w:tc>
          <w:tcPr>
            <w:tcW w:w="2476" w:type="dxa"/>
          </w:tcPr>
          <w:p w:rsidR="00887126" w:rsidRDefault="00887126" w:rsidP="00CD22F2">
            <w:r>
              <w:t>Report Author</w:t>
            </w:r>
          </w:p>
        </w:tc>
        <w:tc>
          <w:tcPr>
            <w:tcW w:w="3883" w:type="dxa"/>
          </w:tcPr>
          <w:p w:rsidR="00887126" w:rsidRDefault="00D059B6" w:rsidP="00CD22F2">
            <w:r>
              <w:t>Dorothy Haines</w:t>
            </w:r>
            <w:r w:rsidR="00D4579B">
              <w:fldChar w:fldCharType="begin"/>
            </w:r>
            <w:r w:rsidR="00887126">
              <w:instrText xml:space="preserve"> </w:instrText>
            </w:r>
            <w:r w:rsidR="00D4579B">
              <w:fldChar w:fldCharType="separate"/>
            </w:r>
            <w:r w:rsidR="00887126">
              <w:rPr>
                <w:b/>
                <w:bCs/>
                <w:lang w:val="en-US"/>
              </w:rPr>
              <w:t>Error! Bookmark not defined.</w:t>
            </w:r>
            <w:r w:rsidR="00D4579B">
              <w:fldChar w:fldCharType="end"/>
            </w:r>
          </w:p>
        </w:tc>
      </w:tr>
      <w:tr w:rsidR="00887126" w:rsidTr="00CD22F2">
        <w:trPr>
          <w:trHeight w:val="255"/>
        </w:trPr>
        <w:tc>
          <w:tcPr>
            <w:tcW w:w="2476" w:type="dxa"/>
          </w:tcPr>
          <w:p w:rsidR="00887126" w:rsidRDefault="00887126" w:rsidP="00CD22F2">
            <w:r>
              <w:t>Service Area</w:t>
            </w:r>
          </w:p>
        </w:tc>
        <w:tc>
          <w:tcPr>
            <w:tcW w:w="3883" w:type="dxa"/>
          </w:tcPr>
          <w:p w:rsidR="00887126" w:rsidRDefault="00BF61E5" w:rsidP="00CD22F2">
            <w:r>
              <w:t xml:space="preserve">Schools </w:t>
            </w:r>
            <w:r w:rsidR="00D4579B">
              <w:fldChar w:fldCharType="begin"/>
            </w:r>
            <w:r w:rsidR="00887126">
              <w:instrText xml:space="preserve"> </w:instrText>
            </w:r>
            <w:r w:rsidR="00D4579B">
              <w:fldChar w:fldCharType="separate"/>
            </w:r>
            <w:r w:rsidR="00887126">
              <w:rPr>
                <w:b/>
                <w:bCs/>
                <w:lang w:val="en-US"/>
              </w:rPr>
              <w:t>Error! Bookmark not defined.</w:t>
            </w:r>
            <w:r w:rsidR="00D4579B">
              <w:fldChar w:fldCharType="end"/>
            </w:r>
          </w:p>
        </w:tc>
      </w:tr>
      <w:tr w:rsidR="00887126" w:rsidTr="00CD22F2">
        <w:trPr>
          <w:trHeight w:val="275"/>
        </w:trPr>
        <w:tc>
          <w:tcPr>
            <w:tcW w:w="2476" w:type="dxa"/>
          </w:tcPr>
          <w:p w:rsidR="00887126" w:rsidRDefault="00CE70A4" w:rsidP="00CD22F2">
            <w:r>
              <w:t>Exempt/Non Exempt</w:t>
            </w:r>
          </w:p>
        </w:tc>
        <w:tc>
          <w:tcPr>
            <w:tcW w:w="3883" w:type="dxa"/>
          </w:tcPr>
          <w:p w:rsidR="00887126" w:rsidRDefault="00CE70A4" w:rsidP="00CD22F2">
            <w:r>
              <w:t xml:space="preserve">Non Exempt </w:t>
            </w:r>
            <w:r w:rsidR="00D4579B">
              <w:fldChar w:fldCharType="begin"/>
            </w:r>
            <w:r w:rsidR="00887126">
              <w:instrText xml:space="preserve"> </w:instrText>
            </w:r>
            <w:r w:rsidR="00D4579B">
              <w:fldChar w:fldCharType="separate"/>
            </w:r>
            <w:r w:rsidR="00887126">
              <w:rPr>
                <w:b/>
                <w:bCs/>
                <w:lang w:val="en-US"/>
              </w:rPr>
              <w:t>Error! Bookmark not defined.</w:t>
            </w:r>
            <w:r w:rsidR="00D4579B">
              <w:fldChar w:fldCharType="end"/>
            </w:r>
          </w:p>
        </w:tc>
      </w:tr>
      <w:tr w:rsidR="00CE70A4" w:rsidTr="00CD22F2">
        <w:trPr>
          <w:trHeight w:val="275"/>
        </w:trPr>
        <w:tc>
          <w:tcPr>
            <w:tcW w:w="2476" w:type="dxa"/>
          </w:tcPr>
          <w:p w:rsidR="00CE70A4" w:rsidRDefault="00CE70A4" w:rsidP="00CD22F2">
            <w:r>
              <w:t>Committee Date</w:t>
            </w:r>
          </w:p>
        </w:tc>
        <w:tc>
          <w:tcPr>
            <w:tcW w:w="3883" w:type="dxa"/>
          </w:tcPr>
          <w:p w:rsidR="00CE70A4" w:rsidRDefault="00E0299A" w:rsidP="00CD22F2">
            <w:r>
              <w:t>5</w:t>
            </w:r>
            <w:r w:rsidRPr="00E0299A">
              <w:rPr>
                <w:vertAlign w:val="superscript"/>
              </w:rPr>
              <w:t>th</w:t>
            </w:r>
            <w:r>
              <w:t xml:space="preserve"> October</w:t>
            </w:r>
            <w:r w:rsidR="00CE70A4">
              <w:t xml:space="preserve"> 2016</w:t>
            </w:r>
          </w:p>
        </w:tc>
      </w:tr>
    </w:tbl>
    <w:p w:rsidR="00887126" w:rsidRDefault="00887126" w:rsidP="00742ABD">
      <w:pPr>
        <w:pStyle w:val="Heading1"/>
        <w:tabs>
          <w:tab w:val="left" w:pos="3440"/>
        </w:tabs>
        <w:rPr>
          <w:b w:val="0"/>
          <w:bCs w:val="0"/>
          <w:i/>
          <w:iCs/>
          <w:sz w:val="24"/>
        </w:rPr>
      </w:pPr>
    </w:p>
    <w:p w:rsidR="00CE70A4" w:rsidRPr="00CE70A4" w:rsidRDefault="00CE70A4" w:rsidP="00CE70A4"/>
    <w:p w:rsidR="00887126" w:rsidRDefault="00887126" w:rsidP="00742ABD">
      <w:pPr>
        <w:pStyle w:val="Heading1"/>
        <w:tabs>
          <w:tab w:val="left" w:pos="3440"/>
        </w:tabs>
        <w:rPr>
          <w:b w:val="0"/>
          <w:bCs w:val="0"/>
          <w:i/>
          <w:iCs/>
          <w:sz w:val="24"/>
        </w:rPr>
      </w:pPr>
    </w:p>
    <w:p w:rsidR="00887126" w:rsidRDefault="00887126" w:rsidP="00742ABD">
      <w:pPr>
        <w:pStyle w:val="Heading1"/>
        <w:tabs>
          <w:tab w:val="left" w:pos="3440"/>
        </w:tabs>
        <w:rPr>
          <w:b w:val="0"/>
          <w:bCs w:val="0"/>
          <w:i/>
          <w:iCs/>
          <w:sz w:val="24"/>
        </w:rPr>
      </w:pPr>
    </w:p>
    <w:p w:rsidR="00411F69" w:rsidRDefault="00411F69" w:rsidP="00411F69">
      <w:pPr>
        <w:pStyle w:val="NoSpacing"/>
      </w:pPr>
    </w:p>
    <w:p w:rsidR="009A1A9B" w:rsidRPr="00411F69" w:rsidRDefault="0025602E" w:rsidP="00411F69">
      <w:pPr>
        <w:pStyle w:val="NoSpacing"/>
      </w:pPr>
      <w:r w:rsidRPr="00411F69">
        <w:t xml:space="preserve">To: </w:t>
      </w:r>
      <w:r w:rsidR="00CF1411" w:rsidRPr="00411F69">
        <w:t xml:space="preserve"> </w:t>
      </w:r>
      <w:r w:rsidR="00E0299A" w:rsidRPr="00411F69">
        <w:t>Mayo</w:t>
      </w:r>
      <w:r w:rsidRPr="00411F69">
        <w:t xml:space="preserve">r, Ladies and </w:t>
      </w:r>
      <w:r w:rsidR="00E0299A" w:rsidRPr="00411F69">
        <w:t>G</w:t>
      </w:r>
      <w:r w:rsidRPr="00411F69">
        <w:t>entlemen</w:t>
      </w:r>
    </w:p>
    <w:p w:rsidR="008A5438" w:rsidRPr="009A1A9B" w:rsidRDefault="009A1A9B" w:rsidP="009A1A9B">
      <w:pPr>
        <w:pStyle w:val="Heading1"/>
        <w:tabs>
          <w:tab w:val="left" w:pos="3440"/>
        </w:tabs>
        <w:rPr>
          <w:b w:val="0"/>
          <w:bCs w:val="0"/>
          <w:color w:val="000080"/>
          <w:sz w:val="24"/>
        </w:rPr>
      </w:pPr>
      <w:r>
        <w:rPr>
          <w:sz w:val="40"/>
        </w:rPr>
        <w:t>21</w:t>
      </w:r>
      <w:r w:rsidRPr="001643CC">
        <w:rPr>
          <w:sz w:val="40"/>
          <w:vertAlign w:val="superscript"/>
        </w:rPr>
        <w:t>st</w:t>
      </w:r>
      <w:r w:rsidR="001643CC">
        <w:rPr>
          <w:sz w:val="40"/>
        </w:rPr>
        <w:t xml:space="preserve"> </w:t>
      </w:r>
      <w:r>
        <w:rPr>
          <w:sz w:val="40"/>
        </w:rPr>
        <w:t>Century Schools Programme</w:t>
      </w:r>
    </w:p>
    <w:p w:rsidR="00620CB7" w:rsidRDefault="00620CB7" w:rsidP="00620CB7"/>
    <w:p w:rsidR="00620CB7" w:rsidRDefault="00620CB7" w:rsidP="003C21A8">
      <w:pPr>
        <w:shd w:val="clear" w:color="auto" w:fill="D9D9D9"/>
      </w:pPr>
    </w:p>
    <w:p w:rsidR="00620CB7" w:rsidRDefault="00331120" w:rsidP="003C21A8">
      <w:pPr>
        <w:pStyle w:val="Heading2"/>
        <w:numPr>
          <w:ilvl w:val="0"/>
          <w:numId w:val="1"/>
        </w:numPr>
        <w:shd w:val="clear" w:color="auto" w:fill="D9D9D9"/>
        <w:spacing w:before="0" w:after="0"/>
        <w:rPr>
          <w:i w:val="0"/>
        </w:rPr>
      </w:pPr>
      <w:r>
        <w:rPr>
          <w:i w:val="0"/>
        </w:rPr>
        <w:t>SUMMARY</w:t>
      </w:r>
      <w:r w:rsidR="0025500E">
        <w:rPr>
          <w:i w:val="0"/>
        </w:rPr>
        <w:t xml:space="preserve"> </w:t>
      </w:r>
      <w:r w:rsidR="00620CB7">
        <w:rPr>
          <w:i w:val="0"/>
        </w:rPr>
        <w:t>OF THE REPORT</w:t>
      </w:r>
    </w:p>
    <w:p w:rsidR="00620CB7" w:rsidRPr="00A835BF" w:rsidRDefault="00620CB7" w:rsidP="003C21A8">
      <w:pPr>
        <w:pStyle w:val="Heading2"/>
        <w:shd w:val="clear" w:color="auto" w:fill="D9D9D9"/>
        <w:tabs>
          <w:tab w:val="left" w:pos="1140"/>
        </w:tabs>
        <w:spacing w:before="0" w:after="0"/>
        <w:rPr>
          <w:i w:val="0"/>
        </w:rPr>
      </w:pPr>
    </w:p>
    <w:p w:rsidR="00620CB7" w:rsidRDefault="00620CB7" w:rsidP="00E0299A">
      <w:pPr>
        <w:shd w:val="clear" w:color="auto" w:fill="D9D9D9"/>
        <w:autoSpaceDE w:val="0"/>
        <w:autoSpaceDN w:val="0"/>
        <w:adjustRightInd w:val="0"/>
        <w:ind w:left="720" w:hanging="720"/>
        <w:jc w:val="both"/>
      </w:pPr>
      <w:r w:rsidRPr="007C73BC">
        <w:t>1.1</w:t>
      </w:r>
      <w:r w:rsidRPr="007C73BC">
        <w:tab/>
      </w:r>
      <w:r w:rsidR="003C35CA">
        <w:t xml:space="preserve">This report provides an update on the proposed new school building for Ysgol Y Graig Primary School. </w:t>
      </w:r>
    </w:p>
    <w:p w:rsidR="006607CE" w:rsidRDefault="006607CE" w:rsidP="00ED01B7">
      <w:pPr>
        <w:shd w:val="clear" w:color="auto" w:fill="D9D9D9"/>
        <w:autoSpaceDE w:val="0"/>
        <w:autoSpaceDN w:val="0"/>
        <w:adjustRightInd w:val="0"/>
        <w:ind w:left="720" w:hanging="720"/>
        <w:rPr>
          <w:b/>
        </w:rPr>
      </w:pPr>
    </w:p>
    <w:p w:rsidR="00620CB7" w:rsidRDefault="006607CE" w:rsidP="00E0299A">
      <w:pPr>
        <w:shd w:val="clear" w:color="auto" w:fill="D9D9D9"/>
        <w:autoSpaceDE w:val="0"/>
        <w:autoSpaceDN w:val="0"/>
        <w:adjustRightInd w:val="0"/>
        <w:ind w:left="720" w:hanging="720"/>
        <w:jc w:val="both"/>
        <w:rPr>
          <w:i/>
        </w:rPr>
      </w:pPr>
      <w:r w:rsidRPr="006607CE">
        <w:t>1.2</w:t>
      </w:r>
      <w:r w:rsidRPr="006607CE">
        <w:tab/>
      </w:r>
      <w:r w:rsidR="003C35CA">
        <w:t xml:space="preserve">As it is 5 years since the </w:t>
      </w:r>
      <w:r w:rsidR="000D3D3D">
        <w:t>options</w:t>
      </w:r>
      <w:r w:rsidR="003C35CA">
        <w:t xml:space="preserve"> were consi</w:t>
      </w:r>
      <w:r w:rsidR="000D3D3D">
        <w:t>dered</w:t>
      </w:r>
      <w:r w:rsidR="003C35CA">
        <w:t xml:space="preserve"> the</w:t>
      </w:r>
      <w:r w:rsidR="000D3D3D">
        <w:t>re will be a</w:t>
      </w:r>
      <w:r w:rsidR="00C22BED">
        <w:t>n engagement and</w:t>
      </w:r>
      <w:r w:rsidR="000D3D3D">
        <w:t xml:space="preserve"> consultation process before the Outline Business Case detailing the preferred option i</w:t>
      </w:r>
      <w:r w:rsidR="00411F69">
        <w:t>s submitted to Welsh Government.</w:t>
      </w:r>
    </w:p>
    <w:p w:rsidR="00AA58B9" w:rsidRDefault="00AA58B9" w:rsidP="00AA58B9">
      <w:pPr>
        <w:shd w:val="clear" w:color="auto" w:fill="D9D9D9" w:themeFill="background1" w:themeFillShade="D9"/>
      </w:pPr>
    </w:p>
    <w:p w:rsidR="00BF61E5" w:rsidRDefault="00BF61E5" w:rsidP="00BF61E5">
      <w:pPr>
        <w:pStyle w:val="Heading2"/>
        <w:spacing w:before="0" w:after="0"/>
        <w:ind w:left="720"/>
        <w:jc w:val="both"/>
        <w:rPr>
          <w:i w:val="0"/>
        </w:rPr>
      </w:pPr>
    </w:p>
    <w:p w:rsidR="00AA58B9" w:rsidRPr="00BF61E5" w:rsidRDefault="00AA58B9" w:rsidP="00BF61E5">
      <w:pPr>
        <w:pStyle w:val="Heading2"/>
        <w:numPr>
          <w:ilvl w:val="0"/>
          <w:numId w:val="1"/>
        </w:numPr>
        <w:spacing w:before="0" w:after="0"/>
        <w:jc w:val="both"/>
        <w:rPr>
          <w:i w:val="0"/>
        </w:rPr>
      </w:pPr>
      <w:r w:rsidRPr="00BF61E5">
        <w:rPr>
          <w:i w:val="0"/>
        </w:rPr>
        <w:t>INTRODUCTION AND BACKGROUND</w:t>
      </w:r>
    </w:p>
    <w:p w:rsidR="00AA58B9" w:rsidRPr="00BF61E5" w:rsidRDefault="00AA58B9" w:rsidP="00BF61E5"/>
    <w:p w:rsidR="00AA58B9" w:rsidRPr="00BF61E5" w:rsidRDefault="00AA58B9" w:rsidP="00BF61E5">
      <w:pPr>
        <w:autoSpaceDE w:val="0"/>
        <w:autoSpaceDN w:val="0"/>
        <w:adjustRightInd w:val="0"/>
        <w:rPr>
          <w:rFonts w:cs="Arial"/>
          <w:lang w:eastAsia="en-GB"/>
        </w:rPr>
      </w:pPr>
      <w:r w:rsidRPr="00BF61E5">
        <w:t>2.1</w:t>
      </w:r>
      <w:r w:rsidRPr="00BF61E5">
        <w:tab/>
      </w:r>
      <w:r w:rsidRPr="00BF61E5">
        <w:rPr>
          <w:rFonts w:cs="Arial"/>
          <w:lang w:eastAsia="en-GB"/>
        </w:rPr>
        <w:t>The Welsh Government 21</w:t>
      </w:r>
      <w:r w:rsidRPr="00BF61E5">
        <w:rPr>
          <w:rFonts w:cs="Arial"/>
          <w:sz w:val="16"/>
          <w:szCs w:val="16"/>
          <w:lang w:eastAsia="en-GB"/>
        </w:rPr>
        <w:t xml:space="preserve">st </w:t>
      </w:r>
      <w:r w:rsidRPr="00BF61E5">
        <w:rPr>
          <w:rFonts w:cs="Arial"/>
          <w:lang w:eastAsia="en-GB"/>
        </w:rPr>
        <w:t>Century Schools and Education Programme represents</w:t>
      </w:r>
    </w:p>
    <w:p w:rsidR="00AA58B9" w:rsidRPr="00BF61E5" w:rsidRDefault="00AA58B9" w:rsidP="00BF61E5">
      <w:pPr>
        <w:autoSpaceDE w:val="0"/>
        <w:autoSpaceDN w:val="0"/>
        <w:adjustRightInd w:val="0"/>
        <w:ind w:left="720" w:hanging="720"/>
        <w:jc w:val="both"/>
        <w:rPr>
          <w:rFonts w:cs="Arial"/>
          <w:lang w:eastAsia="en-GB"/>
        </w:rPr>
      </w:pPr>
      <w:r w:rsidRPr="00BF61E5">
        <w:rPr>
          <w:rFonts w:cs="Arial"/>
          <w:lang w:eastAsia="en-GB"/>
        </w:rPr>
        <w:tab/>
        <w:t>a £1.4 billion investment over the five year period ending 2018/19.  Local authorities were asked to submit bids for the refurbishment and rebuild of schools in the county borough.  The programme is 50% funded by Welsh Government using a combination of capital and revenue funding, with the remaining 50% funding provided by local authorities and others.</w:t>
      </w:r>
    </w:p>
    <w:p w:rsidR="00AA58B9" w:rsidRPr="00BF61E5" w:rsidRDefault="00AA58B9" w:rsidP="00BF61E5">
      <w:pPr>
        <w:ind w:left="720" w:hanging="720"/>
      </w:pPr>
    </w:p>
    <w:p w:rsidR="00AA58B9" w:rsidRPr="00BF61E5" w:rsidRDefault="00AA58B9" w:rsidP="00BF61E5">
      <w:pPr>
        <w:autoSpaceDE w:val="0"/>
        <w:autoSpaceDN w:val="0"/>
        <w:adjustRightInd w:val="0"/>
        <w:rPr>
          <w:rFonts w:cs="Arial"/>
          <w:lang w:eastAsia="en-GB"/>
        </w:rPr>
      </w:pPr>
      <w:r w:rsidRPr="00BF61E5">
        <w:t>2.2</w:t>
      </w:r>
      <w:r w:rsidRPr="00BF61E5">
        <w:tab/>
        <w:t>Business cases are submitted in three stages:</w:t>
      </w:r>
    </w:p>
    <w:p w:rsidR="00AA58B9" w:rsidRPr="00BF61E5" w:rsidRDefault="00AA58B9" w:rsidP="00BF61E5">
      <w:pPr>
        <w:pStyle w:val="ListParagraph"/>
        <w:numPr>
          <w:ilvl w:val="0"/>
          <w:numId w:val="28"/>
        </w:numPr>
        <w:tabs>
          <w:tab w:val="left" w:pos="1134"/>
        </w:tabs>
        <w:autoSpaceDE w:val="0"/>
        <w:autoSpaceDN w:val="0"/>
        <w:adjustRightInd w:val="0"/>
        <w:ind w:left="0" w:firstLine="720"/>
        <w:rPr>
          <w:rFonts w:ascii="Arial" w:hAnsi="Arial" w:cs="Arial"/>
          <w:sz w:val="24"/>
          <w:szCs w:val="24"/>
          <w:lang w:eastAsia="en-GB"/>
        </w:rPr>
      </w:pPr>
      <w:r w:rsidRPr="00BF61E5">
        <w:rPr>
          <w:rFonts w:ascii="Arial" w:hAnsi="Arial" w:cs="Arial"/>
          <w:sz w:val="24"/>
          <w:szCs w:val="24"/>
          <w:lang w:eastAsia="en-GB"/>
        </w:rPr>
        <w:t>Strategic Outline Case (SOC);</w:t>
      </w:r>
    </w:p>
    <w:p w:rsidR="00AA58B9" w:rsidRPr="00BF61E5" w:rsidRDefault="00AA58B9" w:rsidP="00BF61E5">
      <w:pPr>
        <w:pStyle w:val="ListParagraph"/>
        <w:numPr>
          <w:ilvl w:val="0"/>
          <w:numId w:val="28"/>
        </w:numPr>
        <w:tabs>
          <w:tab w:val="left" w:pos="1134"/>
        </w:tabs>
        <w:autoSpaceDE w:val="0"/>
        <w:autoSpaceDN w:val="0"/>
        <w:adjustRightInd w:val="0"/>
        <w:ind w:left="0" w:firstLine="720"/>
        <w:rPr>
          <w:rFonts w:ascii="Arial" w:hAnsi="Arial" w:cs="Arial"/>
          <w:sz w:val="24"/>
          <w:szCs w:val="24"/>
          <w:lang w:eastAsia="en-GB"/>
        </w:rPr>
      </w:pPr>
      <w:r w:rsidRPr="00BF61E5">
        <w:rPr>
          <w:rFonts w:ascii="Arial" w:hAnsi="Arial" w:cs="Arial"/>
          <w:sz w:val="24"/>
          <w:szCs w:val="24"/>
          <w:lang w:eastAsia="en-GB"/>
        </w:rPr>
        <w:t>Outline Business Case (OBC); and</w:t>
      </w:r>
    </w:p>
    <w:p w:rsidR="00AA58B9" w:rsidRPr="00BF61E5" w:rsidRDefault="00AA58B9" w:rsidP="00BF61E5">
      <w:pPr>
        <w:pStyle w:val="ListParagraph"/>
        <w:numPr>
          <w:ilvl w:val="0"/>
          <w:numId w:val="28"/>
        </w:numPr>
        <w:tabs>
          <w:tab w:val="left" w:pos="1134"/>
        </w:tabs>
        <w:ind w:left="0" w:firstLine="720"/>
        <w:jc w:val="both"/>
        <w:rPr>
          <w:rFonts w:ascii="Arial" w:hAnsi="Arial" w:cs="Arial"/>
          <w:sz w:val="24"/>
          <w:szCs w:val="24"/>
          <w:lang w:eastAsia="en-GB"/>
        </w:rPr>
      </w:pPr>
      <w:r w:rsidRPr="00BF61E5">
        <w:rPr>
          <w:rFonts w:ascii="Arial" w:hAnsi="Arial" w:cs="Arial"/>
          <w:sz w:val="24"/>
          <w:szCs w:val="24"/>
          <w:lang w:eastAsia="en-GB"/>
        </w:rPr>
        <w:t>Full Business Case (FBC).</w:t>
      </w:r>
    </w:p>
    <w:p w:rsidR="00AA58B9" w:rsidRPr="00BF61E5" w:rsidRDefault="00AA58B9" w:rsidP="00BF61E5">
      <w:pPr>
        <w:jc w:val="both"/>
        <w:rPr>
          <w:rFonts w:cs="Arial"/>
          <w:lang w:eastAsia="en-GB"/>
        </w:rPr>
      </w:pPr>
    </w:p>
    <w:p w:rsidR="00AA58B9" w:rsidRPr="00BF61E5" w:rsidRDefault="00AA58B9" w:rsidP="00BF61E5">
      <w:pPr>
        <w:autoSpaceDE w:val="0"/>
        <w:autoSpaceDN w:val="0"/>
        <w:adjustRightInd w:val="0"/>
        <w:ind w:left="720" w:hanging="720"/>
        <w:jc w:val="both"/>
        <w:rPr>
          <w:rFonts w:cs="Arial"/>
          <w:lang w:eastAsia="en-GB"/>
        </w:rPr>
      </w:pPr>
      <w:r w:rsidRPr="00BF61E5">
        <w:rPr>
          <w:rFonts w:cs="Arial"/>
          <w:lang w:eastAsia="en-GB"/>
        </w:rPr>
        <w:tab/>
        <w:t xml:space="preserve">The main purpose of the SOC is to establish the need for investment; to appraise the main options for service delivery; and to provide a recommended or preferred way forward for further analysis.  The SOC for both Afon Taf High School and Ysgol Y Graig Primary School were approved by Welsh Government and the second two </w:t>
      </w:r>
      <w:r w:rsidRPr="00BF61E5">
        <w:rPr>
          <w:rFonts w:cs="Arial"/>
          <w:lang w:eastAsia="en-GB"/>
        </w:rPr>
        <w:lastRenderedPageBreak/>
        <w:t xml:space="preserve">stages were undertaken for Afon Taf.  The refurbishment of the school is now reaching a successful conclusion. </w:t>
      </w:r>
    </w:p>
    <w:p w:rsidR="00AA58B9" w:rsidRPr="00BF61E5" w:rsidRDefault="00AA58B9" w:rsidP="00BF61E5">
      <w:pPr>
        <w:ind w:left="720" w:hanging="720"/>
      </w:pPr>
    </w:p>
    <w:p w:rsidR="00AA58B9" w:rsidRDefault="00AA58B9" w:rsidP="00BF61E5">
      <w:pPr>
        <w:autoSpaceDE w:val="0"/>
        <w:autoSpaceDN w:val="0"/>
        <w:adjustRightInd w:val="0"/>
        <w:ind w:left="720" w:hanging="720"/>
        <w:jc w:val="both"/>
      </w:pPr>
      <w:r w:rsidRPr="00BF61E5">
        <w:t>2.3</w:t>
      </w:r>
      <w:r w:rsidRPr="00BF61E5">
        <w:tab/>
        <w:t>A range of sites in the Cefn Coed area were considered as candidate sites for the new school building for Ysgol Y Graig Primary.  In 2011</w:t>
      </w:r>
      <w:r w:rsidR="00C22BED">
        <w:t>, c</w:t>
      </w:r>
      <w:r w:rsidRPr="00BF61E5">
        <w:t>onsultation was held with the community over the emerging proposals.  The aim of the public consultation was to capture and understand the views of all interested parties to aid the decision making process as to which site the new school should be built on.  At that time members identified the former Vaynor and Penderyn High School site as the preferred site for the re-location of Ysgol Y Graig Primary to be utilised in conjunction with the existing playing fields at Godre’r Coed, should funding become available to proceed.</w:t>
      </w:r>
    </w:p>
    <w:p w:rsidR="0023576E" w:rsidRDefault="0023576E" w:rsidP="0023576E">
      <w:pPr>
        <w:autoSpaceDE w:val="0"/>
        <w:autoSpaceDN w:val="0"/>
        <w:adjustRightInd w:val="0"/>
        <w:ind w:left="720" w:hanging="720"/>
        <w:jc w:val="both"/>
      </w:pPr>
    </w:p>
    <w:p w:rsidR="00276558" w:rsidRDefault="002C1336" w:rsidP="00411F69">
      <w:pPr>
        <w:ind w:left="720" w:hanging="720"/>
        <w:jc w:val="both"/>
      </w:pPr>
      <w:r>
        <w:rPr>
          <w:b/>
          <w:sz w:val="28"/>
          <w:szCs w:val="28"/>
        </w:rPr>
        <w:t>3</w:t>
      </w:r>
      <w:r w:rsidR="00030E47" w:rsidRPr="00030E47">
        <w:rPr>
          <w:b/>
          <w:sz w:val="28"/>
          <w:szCs w:val="28"/>
        </w:rPr>
        <w:t>.0</w:t>
      </w:r>
      <w:r w:rsidR="00030E47">
        <w:tab/>
      </w:r>
      <w:r w:rsidR="006D3C1E">
        <w:rPr>
          <w:b/>
          <w:sz w:val="28"/>
          <w:szCs w:val="28"/>
        </w:rPr>
        <w:t>OUTLINE BUSINESS CASE FOR YSGOL Y GRAIG PRIMARY SCHOOL</w:t>
      </w:r>
    </w:p>
    <w:p w:rsidR="00030E47" w:rsidRDefault="00030E47" w:rsidP="0071703E">
      <w:pPr>
        <w:ind w:left="720" w:hanging="720"/>
      </w:pPr>
    </w:p>
    <w:p w:rsidR="006D3C1E" w:rsidRDefault="002C1336" w:rsidP="00411F69">
      <w:pPr>
        <w:autoSpaceDE w:val="0"/>
        <w:autoSpaceDN w:val="0"/>
        <w:adjustRightInd w:val="0"/>
        <w:ind w:left="720" w:hanging="720"/>
        <w:jc w:val="both"/>
        <w:rPr>
          <w:rFonts w:cs="Arial"/>
          <w:lang w:eastAsia="en-GB"/>
        </w:rPr>
      </w:pPr>
      <w:r>
        <w:t>3</w:t>
      </w:r>
      <w:r w:rsidR="00030E47">
        <w:t>.1</w:t>
      </w:r>
      <w:r w:rsidR="00030E47">
        <w:tab/>
      </w:r>
      <w:r w:rsidR="006D3C1E" w:rsidRPr="006D3C1E">
        <w:t xml:space="preserve">As part of the Welsh Government’s Band A 21st Century Schools Programme funding became available to progress the design development of Ysgol-y-Graig in 2016/17. </w:t>
      </w:r>
      <w:r w:rsidR="006D3C1E">
        <w:t xml:space="preserve"> The local authority </w:t>
      </w:r>
      <w:r>
        <w:t>began</w:t>
      </w:r>
      <w:r w:rsidR="006D3C1E">
        <w:t xml:space="preserve"> preparing the OBC for Ysgol Y Graig Primary School, which involves </w:t>
      </w:r>
      <w:r w:rsidR="006D3C1E">
        <w:rPr>
          <w:rFonts w:cs="Arial"/>
          <w:lang w:eastAsia="en-GB"/>
        </w:rPr>
        <w:t>revisiting the case for change and the preferred way forward identified in the SOC; establish</w:t>
      </w:r>
      <w:r>
        <w:rPr>
          <w:rFonts w:cs="Arial"/>
          <w:lang w:eastAsia="en-GB"/>
        </w:rPr>
        <w:t>ing</w:t>
      </w:r>
      <w:r w:rsidR="006D3C1E">
        <w:rPr>
          <w:rFonts w:cs="Arial"/>
          <w:lang w:eastAsia="en-GB"/>
        </w:rPr>
        <w:t xml:space="preserve"> the option which optimises value for money; outlin</w:t>
      </w:r>
      <w:r>
        <w:rPr>
          <w:rFonts w:cs="Arial"/>
          <w:lang w:eastAsia="en-GB"/>
        </w:rPr>
        <w:t>ing</w:t>
      </w:r>
      <w:r w:rsidR="006D3C1E">
        <w:rPr>
          <w:rFonts w:cs="Arial"/>
          <w:lang w:eastAsia="en-GB"/>
        </w:rPr>
        <w:t xml:space="preserve"> the deal and assess</w:t>
      </w:r>
      <w:r>
        <w:rPr>
          <w:rFonts w:cs="Arial"/>
          <w:lang w:eastAsia="en-GB"/>
        </w:rPr>
        <w:t>ing</w:t>
      </w:r>
      <w:r w:rsidR="006D3C1E">
        <w:rPr>
          <w:rFonts w:cs="Arial"/>
          <w:lang w:eastAsia="en-GB"/>
        </w:rPr>
        <w:t xml:space="preserve"> affordability; and demonstrat</w:t>
      </w:r>
      <w:r>
        <w:rPr>
          <w:rFonts w:cs="Arial"/>
          <w:lang w:eastAsia="en-GB"/>
        </w:rPr>
        <w:t>ing</w:t>
      </w:r>
      <w:r w:rsidR="006D3C1E">
        <w:rPr>
          <w:rFonts w:cs="Arial"/>
          <w:lang w:eastAsia="en-GB"/>
        </w:rPr>
        <w:t xml:space="preserve"> that the proposed scheme is deliverable. </w:t>
      </w:r>
      <w:r w:rsidR="006D3C1E">
        <w:rPr>
          <w:i/>
        </w:rPr>
        <w:t xml:space="preserve"> </w:t>
      </w:r>
      <w:r w:rsidR="006D3C1E">
        <w:rPr>
          <w:rFonts w:cs="Arial"/>
          <w:lang w:eastAsia="en-GB"/>
        </w:rPr>
        <w:t xml:space="preserve">At </w:t>
      </w:r>
      <w:r>
        <w:rPr>
          <w:rFonts w:cs="Arial"/>
          <w:lang w:eastAsia="en-GB"/>
        </w:rPr>
        <w:t xml:space="preserve">the </w:t>
      </w:r>
      <w:r w:rsidR="006D3C1E">
        <w:rPr>
          <w:rFonts w:cs="Arial"/>
          <w:lang w:eastAsia="en-GB"/>
        </w:rPr>
        <w:t>OBC Stage, it may be necessary to update the Strategic Case in the light of any changes or new information</w:t>
      </w:r>
      <w:r w:rsidR="00C22BED">
        <w:rPr>
          <w:rFonts w:cs="Arial"/>
          <w:lang w:eastAsia="en-GB"/>
        </w:rPr>
        <w:t>.</w:t>
      </w:r>
    </w:p>
    <w:p w:rsidR="006D3C1E" w:rsidRDefault="006D3C1E" w:rsidP="006D3C1E">
      <w:pPr>
        <w:autoSpaceDE w:val="0"/>
        <w:autoSpaceDN w:val="0"/>
        <w:adjustRightInd w:val="0"/>
        <w:ind w:left="720" w:hanging="720"/>
      </w:pPr>
    </w:p>
    <w:p w:rsidR="002C1336" w:rsidRDefault="00BF61E5" w:rsidP="00411F69">
      <w:pPr>
        <w:ind w:left="720" w:hanging="720"/>
        <w:jc w:val="both"/>
      </w:pPr>
      <w:r>
        <w:t>3</w:t>
      </w:r>
      <w:r w:rsidR="00FF40EC">
        <w:t>.2</w:t>
      </w:r>
      <w:r w:rsidR="00FF40EC">
        <w:tab/>
      </w:r>
      <w:r w:rsidR="006D3C1E">
        <w:t>In addition</w:t>
      </w:r>
      <w:r w:rsidR="00C22BED">
        <w:t>,</w:t>
      </w:r>
      <w:r w:rsidR="006D3C1E">
        <w:t xml:space="preserve"> the local authority sought expert advice on the </w:t>
      </w:r>
      <w:r w:rsidR="00BE53FA">
        <w:t xml:space="preserve">public engagement and </w:t>
      </w:r>
      <w:r w:rsidR="006D3C1E">
        <w:t>consultation</w:t>
      </w:r>
      <w:r w:rsidR="00BE53FA">
        <w:t xml:space="preserve"> p</w:t>
      </w:r>
      <w:r w:rsidR="006D3C1E">
        <w:t xml:space="preserve">rocess as it has been 5 years since the proposal was discussed.  </w:t>
      </w:r>
      <w:r w:rsidR="002C1336">
        <w:t>There are a number of options for the site including the six sites considered in the feasibility study prepared by Austin-Smith:Lord in March 2011</w:t>
      </w:r>
      <w:r w:rsidR="000D3D3D">
        <w:t>.  Following advice it has been agreed that there should be a</w:t>
      </w:r>
      <w:r w:rsidR="002D12FA">
        <w:t>n engagement and public</w:t>
      </w:r>
      <w:r w:rsidR="002C1336">
        <w:t xml:space="preserve"> consultation </w:t>
      </w:r>
      <w:r w:rsidR="000D3D3D">
        <w:t xml:space="preserve">process </w:t>
      </w:r>
      <w:r w:rsidR="002C1336">
        <w:t xml:space="preserve">in order to ensure that the community has access to the information about all of the possible options before any decision is made. </w:t>
      </w:r>
      <w:r w:rsidR="00411F69">
        <w:t xml:space="preserve"> </w:t>
      </w:r>
      <w:r w:rsidR="002C1336">
        <w:t>It will also give the community the opportunity to suggest alternatives.</w:t>
      </w:r>
    </w:p>
    <w:p w:rsidR="00666E32" w:rsidRDefault="00666E32" w:rsidP="00666E32">
      <w:pPr>
        <w:autoSpaceDE w:val="0"/>
        <w:autoSpaceDN w:val="0"/>
        <w:adjustRightInd w:val="0"/>
        <w:ind w:left="720" w:hanging="720"/>
      </w:pPr>
    </w:p>
    <w:p w:rsidR="002C1336" w:rsidRDefault="00BF61E5" w:rsidP="002C1336">
      <w:pPr>
        <w:ind w:left="720" w:hanging="720"/>
      </w:pPr>
      <w:r>
        <w:t>3</w:t>
      </w:r>
      <w:r w:rsidR="00FF40EC">
        <w:t>.3</w:t>
      </w:r>
      <w:r w:rsidR="00FF40EC">
        <w:tab/>
      </w:r>
      <w:r w:rsidR="002C1336">
        <w:t>An action plan has been agreed as follows:</w:t>
      </w:r>
    </w:p>
    <w:p w:rsidR="002C1336" w:rsidRPr="002C1336" w:rsidRDefault="002C1336" w:rsidP="00411F69">
      <w:pPr>
        <w:pStyle w:val="ListParagraph"/>
        <w:numPr>
          <w:ilvl w:val="0"/>
          <w:numId w:val="27"/>
        </w:numPr>
        <w:jc w:val="both"/>
        <w:rPr>
          <w:rFonts w:ascii="Arial" w:hAnsi="Arial" w:cs="Arial"/>
          <w:sz w:val="24"/>
          <w:szCs w:val="24"/>
        </w:rPr>
      </w:pPr>
      <w:r w:rsidRPr="002C1336">
        <w:rPr>
          <w:rFonts w:ascii="Arial" w:hAnsi="Arial" w:cs="Arial"/>
          <w:sz w:val="24"/>
          <w:szCs w:val="24"/>
        </w:rPr>
        <w:t>a risk awareness</w:t>
      </w:r>
      <w:r w:rsidR="002D12FA">
        <w:rPr>
          <w:rFonts w:ascii="Arial" w:hAnsi="Arial" w:cs="Arial"/>
          <w:sz w:val="24"/>
          <w:szCs w:val="24"/>
        </w:rPr>
        <w:t xml:space="preserve"> </w:t>
      </w:r>
      <w:r w:rsidRPr="002C1336">
        <w:rPr>
          <w:rFonts w:ascii="Arial" w:hAnsi="Arial" w:cs="Arial"/>
          <w:sz w:val="24"/>
          <w:szCs w:val="24"/>
        </w:rPr>
        <w:t>session</w:t>
      </w:r>
      <w:r w:rsidR="001172C9">
        <w:rPr>
          <w:rFonts w:ascii="Arial" w:hAnsi="Arial" w:cs="Arial"/>
          <w:sz w:val="24"/>
          <w:szCs w:val="24"/>
        </w:rPr>
        <w:t xml:space="preserve"> on</w:t>
      </w:r>
      <w:r w:rsidR="006073C4">
        <w:rPr>
          <w:rFonts w:ascii="Arial" w:hAnsi="Arial" w:cs="Arial"/>
          <w:sz w:val="24"/>
          <w:szCs w:val="24"/>
        </w:rPr>
        <w:t xml:space="preserve"> the</w:t>
      </w:r>
      <w:r w:rsidR="001172C9">
        <w:rPr>
          <w:rFonts w:ascii="Arial" w:hAnsi="Arial" w:cs="Arial"/>
          <w:sz w:val="24"/>
          <w:szCs w:val="24"/>
        </w:rPr>
        <w:t xml:space="preserve"> engagement and public consultation</w:t>
      </w:r>
      <w:r w:rsidRPr="002C1336">
        <w:rPr>
          <w:rFonts w:ascii="Arial" w:hAnsi="Arial" w:cs="Arial"/>
          <w:sz w:val="24"/>
          <w:szCs w:val="24"/>
        </w:rPr>
        <w:t xml:space="preserve"> </w:t>
      </w:r>
      <w:r w:rsidR="006073C4">
        <w:rPr>
          <w:rFonts w:ascii="Arial" w:hAnsi="Arial" w:cs="Arial"/>
          <w:sz w:val="24"/>
          <w:szCs w:val="24"/>
        </w:rPr>
        <w:t xml:space="preserve">process </w:t>
      </w:r>
      <w:bookmarkStart w:id="0" w:name="_GoBack"/>
      <w:bookmarkEnd w:id="0"/>
      <w:r>
        <w:rPr>
          <w:rFonts w:ascii="Arial" w:hAnsi="Arial" w:cs="Arial"/>
          <w:sz w:val="24"/>
          <w:szCs w:val="24"/>
        </w:rPr>
        <w:t xml:space="preserve">will be held </w:t>
      </w:r>
      <w:r w:rsidRPr="002C1336">
        <w:rPr>
          <w:rFonts w:ascii="Arial" w:hAnsi="Arial" w:cs="Arial"/>
          <w:sz w:val="24"/>
          <w:szCs w:val="24"/>
        </w:rPr>
        <w:t>at the end of October/early November</w:t>
      </w:r>
      <w:r w:rsidR="00C22BED">
        <w:rPr>
          <w:rFonts w:ascii="Arial" w:hAnsi="Arial" w:cs="Arial"/>
          <w:sz w:val="24"/>
          <w:szCs w:val="24"/>
        </w:rPr>
        <w:t xml:space="preserve"> 2016;</w:t>
      </w:r>
    </w:p>
    <w:p w:rsidR="002C1336" w:rsidRPr="002C1336" w:rsidRDefault="002C1336" w:rsidP="00411F69">
      <w:pPr>
        <w:pStyle w:val="ListParagraph"/>
        <w:numPr>
          <w:ilvl w:val="0"/>
          <w:numId w:val="27"/>
        </w:numPr>
        <w:jc w:val="both"/>
        <w:rPr>
          <w:rFonts w:ascii="Arial" w:hAnsi="Arial" w:cs="Arial"/>
          <w:sz w:val="24"/>
          <w:szCs w:val="24"/>
        </w:rPr>
      </w:pPr>
      <w:r>
        <w:rPr>
          <w:rFonts w:ascii="Arial" w:hAnsi="Arial" w:cs="Arial"/>
          <w:sz w:val="24"/>
          <w:szCs w:val="24"/>
        </w:rPr>
        <w:t>a</w:t>
      </w:r>
      <w:r w:rsidR="00C22BED">
        <w:rPr>
          <w:rFonts w:ascii="Arial" w:hAnsi="Arial" w:cs="Arial"/>
          <w:sz w:val="24"/>
          <w:szCs w:val="24"/>
        </w:rPr>
        <w:t>n I</w:t>
      </w:r>
      <w:r w:rsidRPr="002C1336">
        <w:rPr>
          <w:rFonts w:ascii="Arial" w:hAnsi="Arial" w:cs="Arial"/>
          <w:sz w:val="24"/>
          <w:szCs w:val="24"/>
        </w:rPr>
        <w:t xml:space="preserve">ssues paper listing </w:t>
      </w:r>
      <w:r w:rsidR="00BE53FA">
        <w:rPr>
          <w:rFonts w:ascii="Arial" w:hAnsi="Arial" w:cs="Arial"/>
          <w:sz w:val="24"/>
          <w:szCs w:val="24"/>
        </w:rPr>
        <w:t xml:space="preserve">all </w:t>
      </w:r>
      <w:r w:rsidRPr="002C1336">
        <w:rPr>
          <w:rFonts w:ascii="Arial" w:hAnsi="Arial" w:cs="Arial"/>
          <w:sz w:val="24"/>
          <w:szCs w:val="24"/>
        </w:rPr>
        <w:t xml:space="preserve">the </w:t>
      </w:r>
      <w:r>
        <w:rPr>
          <w:rFonts w:ascii="Arial" w:hAnsi="Arial" w:cs="Arial"/>
          <w:sz w:val="24"/>
          <w:szCs w:val="24"/>
        </w:rPr>
        <w:t>possible</w:t>
      </w:r>
      <w:r w:rsidRPr="002C1336">
        <w:rPr>
          <w:rFonts w:ascii="Arial" w:hAnsi="Arial" w:cs="Arial"/>
          <w:sz w:val="24"/>
          <w:szCs w:val="24"/>
        </w:rPr>
        <w:t xml:space="preserve"> options will be produced at the</w:t>
      </w:r>
      <w:r w:rsidR="00C22BED">
        <w:rPr>
          <w:rFonts w:ascii="Arial" w:hAnsi="Arial" w:cs="Arial"/>
          <w:sz w:val="24"/>
          <w:szCs w:val="24"/>
        </w:rPr>
        <w:t xml:space="preserve"> end of November/early December 2016;</w:t>
      </w:r>
    </w:p>
    <w:p w:rsidR="002C1336" w:rsidRPr="002C1336" w:rsidRDefault="002C1336" w:rsidP="00411F69">
      <w:pPr>
        <w:pStyle w:val="ListParagraph"/>
        <w:numPr>
          <w:ilvl w:val="0"/>
          <w:numId w:val="27"/>
        </w:numPr>
        <w:jc w:val="both"/>
        <w:rPr>
          <w:rFonts w:ascii="Arial" w:hAnsi="Arial" w:cs="Arial"/>
          <w:sz w:val="24"/>
          <w:szCs w:val="24"/>
        </w:rPr>
      </w:pPr>
      <w:r>
        <w:rPr>
          <w:rFonts w:ascii="Arial" w:hAnsi="Arial" w:cs="Arial"/>
          <w:sz w:val="24"/>
          <w:szCs w:val="24"/>
        </w:rPr>
        <w:t>a</w:t>
      </w:r>
      <w:r w:rsidRPr="002C1336">
        <w:rPr>
          <w:rFonts w:ascii="Arial" w:hAnsi="Arial" w:cs="Arial"/>
          <w:sz w:val="24"/>
          <w:szCs w:val="24"/>
        </w:rPr>
        <w:t xml:space="preserve"> listening and engagement process </w:t>
      </w:r>
      <w:r>
        <w:rPr>
          <w:rFonts w:ascii="Arial" w:hAnsi="Arial" w:cs="Arial"/>
          <w:sz w:val="24"/>
          <w:szCs w:val="24"/>
        </w:rPr>
        <w:t xml:space="preserve">will take place </w:t>
      </w:r>
      <w:r w:rsidRPr="002C1336">
        <w:rPr>
          <w:rFonts w:ascii="Arial" w:hAnsi="Arial" w:cs="Arial"/>
          <w:sz w:val="24"/>
          <w:szCs w:val="24"/>
        </w:rPr>
        <w:t>at the end of January</w:t>
      </w:r>
      <w:r w:rsidR="00411F69">
        <w:rPr>
          <w:rFonts w:ascii="Arial" w:hAnsi="Arial" w:cs="Arial"/>
          <w:sz w:val="24"/>
          <w:szCs w:val="24"/>
        </w:rPr>
        <w:t>;</w:t>
      </w:r>
      <w:r w:rsidR="00C22BED">
        <w:rPr>
          <w:rFonts w:ascii="Arial" w:hAnsi="Arial" w:cs="Arial"/>
          <w:sz w:val="24"/>
          <w:szCs w:val="24"/>
        </w:rPr>
        <w:t xml:space="preserve"> 2017</w:t>
      </w:r>
    </w:p>
    <w:p w:rsidR="002C1336" w:rsidRPr="002C1336" w:rsidRDefault="002C1336" w:rsidP="00411F69">
      <w:pPr>
        <w:pStyle w:val="ListParagraph"/>
        <w:numPr>
          <w:ilvl w:val="0"/>
          <w:numId w:val="27"/>
        </w:numPr>
        <w:jc w:val="both"/>
        <w:rPr>
          <w:rFonts w:ascii="Arial" w:hAnsi="Arial" w:cs="Arial"/>
          <w:sz w:val="24"/>
          <w:szCs w:val="24"/>
        </w:rPr>
      </w:pPr>
      <w:r>
        <w:rPr>
          <w:rFonts w:ascii="Arial" w:hAnsi="Arial" w:cs="Arial"/>
          <w:sz w:val="24"/>
          <w:szCs w:val="24"/>
        </w:rPr>
        <w:t>c</w:t>
      </w:r>
      <w:r w:rsidRPr="002C1336">
        <w:rPr>
          <w:rFonts w:ascii="Arial" w:hAnsi="Arial" w:cs="Arial"/>
          <w:sz w:val="24"/>
          <w:szCs w:val="24"/>
        </w:rPr>
        <w:t xml:space="preserve">o-production </w:t>
      </w:r>
      <w:r w:rsidR="00C43EEE">
        <w:rPr>
          <w:rFonts w:ascii="Arial" w:hAnsi="Arial" w:cs="Arial"/>
          <w:sz w:val="24"/>
          <w:szCs w:val="24"/>
        </w:rPr>
        <w:t xml:space="preserve"> (See 3.5) </w:t>
      </w:r>
      <w:r w:rsidRPr="002C1336">
        <w:rPr>
          <w:rFonts w:ascii="Arial" w:hAnsi="Arial" w:cs="Arial"/>
          <w:sz w:val="24"/>
          <w:szCs w:val="24"/>
        </w:rPr>
        <w:t>will take place in February</w:t>
      </w:r>
      <w:r w:rsidR="00C22BED">
        <w:rPr>
          <w:rFonts w:ascii="Arial" w:hAnsi="Arial" w:cs="Arial"/>
          <w:sz w:val="24"/>
          <w:szCs w:val="24"/>
        </w:rPr>
        <w:t xml:space="preserve"> 2017; </w:t>
      </w:r>
    </w:p>
    <w:p w:rsidR="002C1336" w:rsidRDefault="002C1336" w:rsidP="00411F69">
      <w:pPr>
        <w:pStyle w:val="ListParagraph"/>
        <w:numPr>
          <w:ilvl w:val="0"/>
          <w:numId w:val="27"/>
        </w:numPr>
        <w:jc w:val="both"/>
        <w:rPr>
          <w:rFonts w:ascii="Arial" w:hAnsi="Arial" w:cs="Arial"/>
          <w:sz w:val="24"/>
          <w:szCs w:val="24"/>
        </w:rPr>
      </w:pPr>
      <w:r>
        <w:rPr>
          <w:rFonts w:ascii="Arial" w:hAnsi="Arial" w:cs="Arial"/>
          <w:sz w:val="24"/>
          <w:szCs w:val="24"/>
        </w:rPr>
        <w:t>a</w:t>
      </w:r>
      <w:r w:rsidRPr="002C1336">
        <w:rPr>
          <w:rFonts w:ascii="Arial" w:hAnsi="Arial" w:cs="Arial"/>
          <w:sz w:val="24"/>
          <w:szCs w:val="24"/>
        </w:rPr>
        <w:t xml:space="preserve"> report will go to Council on 22</w:t>
      </w:r>
      <w:r w:rsidRPr="002C1336">
        <w:rPr>
          <w:rFonts w:ascii="Arial" w:hAnsi="Arial" w:cs="Arial"/>
          <w:sz w:val="24"/>
          <w:szCs w:val="24"/>
          <w:vertAlign w:val="superscript"/>
        </w:rPr>
        <w:t>nd</w:t>
      </w:r>
      <w:r w:rsidRPr="002C1336">
        <w:rPr>
          <w:rFonts w:ascii="Arial" w:hAnsi="Arial" w:cs="Arial"/>
          <w:sz w:val="24"/>
          <w:szCs w:val="24"/>
        </w:rPr>
        <w:t xml:space="preserve"> March</w:t>
      </w:r>
      <w:r w:rsidR="00C22BED">
        <w:rPr>
          <w:rFonts w:ascii="Arial" w:hAnsi="Arial" w:cs="Arial"/>
          <w:sz w:val="24"/>
          <w:szCs w:val="24"/>
        </w:rPr>
        <w:t>, 2017</w:t>
      </w:r>
      <w:r w:rsidRPr="002C1336">
        <w:rPr>
          <w:rFonts w:ascii="Arial" w:hAnsi="Arial" w:cs="Arial"/>
          <w:sz w:val="24"/>
          <w:szCs w:val="24"/>
        </w:rPr>
        <w:t xml:space="preserve"> listing options and requesting permission to go out to</w:t>
      </w:r>
      <w:r w:rsidR="00C22BED">
        <w:rPr>
          <w:rFonts w:ascii="Arial" w:hAnsi="Arial" w:cs="Arial"/>
          <w:sz w:val="24"/>
          <w:szCs w:val="24"/>
        </w:rPr>
        <w:t xml:space="preserve"> public</w:t>
      </w:r>
      <w:r w:rsidRPr="002C1336">
        <w:rPr>
          <w:rFonts w:ascii="Arial" w:hAnsi="Arial" w:cs="Arial"/>
          <w:sz w:val="24"/>
          <w:szCs w:val="24"/>
        </w:rPr>
        <w:t xml:space="preserve"> consultation</w:t>
      </w:r>
      <w:r w:rsidR="00411F69">
        <w:rPr>
          <w:rFonts w:ascii="Arial" w:hAnsi="Arial" w:cs="Arial"/>
          <w:sz w:val="24"/>
          <w:szCs w:val="24"/>
        </w:rPr>
        <w:t>.</w:t>
      </w:r>
    </w:p>
    <w:p w:rsidR="002C1336" w:rsidRDefault="002C1336" w:rsidP="002C1336">
      <w:pPr>
        <w:rPr>
          <w:rFonts w:cs="Arial"/>
        </w:rPr>
      </w:pPr>
    </w:p>
    <w:p w:rsidR="003C35CA" w:rsidRDefault="00BF61E5" w:rsidP="00411F69">
      <w:pPr>
        <w:ind w:left="720" w:hanging="720"/>
        <w:jc w:val="both"/>
        <w:rPr>
          <w:rFonts w:cs="Arial"/>
        </w:rPr>
      </w:pPr>
      <w:r>
        <w:rPr>
          <w:rFonts w:cs="Arial"/>
        </w:rPr>
        <w:t>3</w:t>
      </w:r>
      <w:r w:rsidR="002C1336">
        <w:rPr>
          <w:rFonts w:cs="Arial"/>
        </w:rPr>
        <w:t>.4</w:t>
      </w:r>
      <w:r w:rsidR="002C1336">
        <w:rPr>
          <w:rFonts w:cs="Arial"/>
        </w:rPr>
        <w:tab/>
        <w:t xml:space="preserve">The </w:t>
      </w:r>
      <w:r w:rsidR="003C35CA">
        <w:rPr>
          <w:rFonts w:cs="Arial"/>
        </w:rPr>
        <w:t xml:space="preserve">listening and engagement stage involves pre-consultation with stakeholders in order to revisit what was explored before and to test it for suitability to take into consultation. </w:t>
      </w:r>
      <w:r w:rsidR="00411F69">
        <w:rPr>
          <w:rFonts w:cs="Arial"/>
        </w:rPr>
        <w:t xml:space="preserve"> </w:t>
      </w:r>
      <w:r w:rsidR="003C35CA">
        <w:rPr>
          <w:rFonts w:cs="Arial"/>
        </w:rPr>
        <w:t xml:space="preserve">The information will be provided in the issues paper. </w:t>
      </w:r>
      <w:r w:rsidR="00411F69">
        <w:rPr>
          <w:rFonts w:cs="Arial"/>
        </w:rPr>
        <w:t xml:space="preserve"> </w:t>
      </w:r>
      <w:r w:rsidR="003C35CA">
        <w:rPr>
          <w:rFonts w:cs="Arial"/>
        </w:rPr>
        <w:t>Stakeholders will be asked to discuss and debate possible sites and provide a rationale for their views so that these can be investigated before the consultation process.</w:t>
      </w:r>
    </w:p>
    <w:p w:rsidR="003C35CA" w:rsidRDefault="003C35CA" w:rsidP="003C35CA">
      <w:pPr>
        <w:ind w:left="720" w:hanging="720"/>
        <w:rPr>
          <w:rFonts w:cs="Arial"/>
        </w:rPr>
      </w:pPr>
    </w:p>
    <w:p w:rsidR="003C35CA" w:rsidRPr="002C1336" w:rsidRDefault="00BF61E5" w:rsidP="00411F69">
      <w:pPr>
        <w:ind w:left="720" w:hanging="720"/>
        <w:jc w:val="both"/>
        <w:rPr>
          <w:rFonts w:cs="Arial"/>
        </w:rPr>
      </w:pPr>
      <w:r>
        <w:rPr>
          <w:rFonts w:cs="Arial"/>
        </w:rPr>
        <w:lastRenderedPageBreak/>
        <w:t>3</w:t>
      </w:r>
      <w:r w:rsidR="003C35CA">
        <w:rPr>
          <w:rFonts w:cs="Arial"/>
        </w:rPr>
        <w:t xml:space="preserve">.5 </w:t>
      </w:r>
      <w:r w:rsidR="003C35CA">
        <w:rPr>
          <w:rFonts w:cs="Arial"/>
        </w:rPr>
        <w:tab/>
        <w:t xml:space="preserve">Co-production is when the outcomes of the listening and engagement stage are reviewed so that local authority officers </w:t>
      </w:r>
      <w:r w:rsidR="00C43EEE">
        <w:rPr>
          <w:rFonts w:cs="Arial"/>
        </w:rPr>
        <w:t xml:space="preserve">and other stakeholders </w:t>
      </w:r>
      <w:r w:rsidR="003C35CA">
        <w:rPr>
          <w:rFonts w:cs="Arial"/>
        </w:rPr>
        <w:t>can consid</w:t>
      </w:r>
      <w:r w:rsidR="00411F69">
        <w:rPr>
          <w:rFonts w:cs="Arial"/>
        </w:rPr>
        <w:t xml:space="preserve">er what options to recommend to </w:t>
      </w:r>
      <w:r w:rsidR="003C35CA">
        <w:rPr>
          <w:rFonts w:cs="Arial"/>
        </w:rPr>
        <w:t xml:space="preserve">take forward into the consultation process. </w:t>
      </w:r>
    </w:p>
    <w:p w:rsidR="00030E47" w:rsidRDefault="00030E47" w:rsidP="00030E47"/>
    <w:p w:rsidR="00620CB7" w:rsidRDefault="00BF61E5" w:rsidP="00030E47">
      <w:pPr>
        <w:pStyle w:val="Heading2"/>
        <w:spacing w:before="0" w:after="0"/>
      </w:pPr>
      <w:r>
        <w:rPr>
          <w:i w:val="0"/>
        </w:rPr>
        <w:t>4</w:t>
      </w:r>
      <w:r w:rsidR="00030E47">
        <w:rPr>
          <w:i w:val="0"/>
        </w:rPr>
        <w:t xml:space="preserve">.0 </w:t>
      </w:r>
      <w:r w:rsidR="00030E47">
        <w:rPr>
          <w:i w:val="0"/>
        </w:rPr>
        <w:tab/>
      </w:r>
      <w:r w:rsidR="00620CB7" w:rsidRPr="007700AD">
        <w:rPr>
          <w:i w:val="0"/>
        </w:rPr>
        <w:t>FINANCIAL</w:t>
      </w:r>
      <w:r w:rsidR="00620CB7" w:rsidRPr="00742ABD">
        <w:t xml:space="preserve"> </w:t>
      </w:r>
      <w:r w:rsidR="00620CB7" w:rsidRPr="007C73BC">
        <w:rPr>
          <w:i w:val="0"/>
        </w:rPr>
        <w:t>IMPLICATIONS</w:t>
      </w:r>
    </w:p>
    <w:p w:rsidR="00620CB7" w:rsidRDefault="00620CB7" w:rsidP="00620CB7"/>
    <w:p w:rsidR="00620CB7" w:rsidRPr="007C73BC" w:rsidRDefault="00BF61E5" w:rsidP="00620CB7">
      <w:r>
        <w:t>4</w:t>
      </w:r>
      <w:r w:rsidR="00620CB7">
        <w:t>.1</w:t>
      </w:r>
      <w:r w:rsidR="00620CB7">
        <w:tab/>
      </w:r>
      <w:r w:rsidR="004517A7" w:rsidRPr="004517A7">
        <w:t>Funding is contained within the budget</w:t>
      </w:r>
      <w:r w:rsidR="005D7226">
        <w:t>.</w:t>
      </w:r>
    </w:p>
    <w:p w:rsidR="00620CB7" w:rsidRPr="00352514" w:rsidRDefault="00620CB7" w:rsidP="00620CB7">
      <w:pPr>
        <w:pStyle w:val="Heading2"/>
        <w:spacing w:before="0" w:after="0"/>
        <w:ind w:left="720" w:hanging="720"/>
        <w:jc w:val="both"/>
        <w:rPr>
          <w:b w:val="0"/>
          <w:i w:val="0"/>
          <w:sz w:val="24"/>
          <w:szCs w:val="24"/>
        </w:rPr>
      </w:pPr>
    </w:p>
    <w:p w:rsidR="00620CB7" w:rsidRPr="007700AD" w:rsidRDefault="00BF61E5" w:rsidP="00620CB7">
      <w:pPr>
        <w:pStyle w:val="Heading2"/>
        <w:spacing w:before="0" w:after="0"/>
        <w:ind w:left="720" w:hanging="720"/>
        <w:jc w:val="both"/>
        <w:rPr>
          <w:i w:val="0"/>
        </w:rPr>
      </w:pPr>
      <w:r>
        <w:rPr>
          <w:i w:val="0"/>
        </w:rPr>
        <w:t>5</w:t>
      </w:r>
      <w:r w:rsidR="00620CB7">
        <w:rPr>
          <w:i w:val="0"/>
        </w:rPr>
        <w:t>.0</w:t>
      </w:r>
      <w:r w:rsidR="00620CB7">
        <w:rPr>
          <w:i w:val="0"/>
        </w:rPr>
        <w:tab/>
      </w:r>
      <w:r w:rsidR="00620CB7" w:rsidRPr="007700AD">
        <w:rPr>
          <w:i w:val="0"/>
        </w:rPr>
        <w:t>SINGLE INTEGRATED PLAN AND SUSTAINABILITY IMPACT SUMMARY</w:t>
      </w:r>
    </w:p>
    <w:p w:rsidR="00620CB7" w:rsidRDefault="00620CB7" w:rsidP="00620CB7">
      <w:pPr>
        <w:pStyle w:val="Heading2"/>
        <w:spacing w:before="0" w:after="0"/>
        <w:ind w:left="720" w:hanging="720"/>
        <w:rPr>
          <w:b w:val="0"/>
          <w:i w:val="0"/>
          <w:sz w:val="24"/>
          <w:szCs w:val="24"/>
        </w:rPr>
      </w:pPr>
    </w:p>
    <w:p w:rsidR="00620CB7" w:rsidRPr="00D059B6" w:rsidRDefault="00BF61E5" w:rsidP="00142081">
      <w:pPr>
        <w:ind w:left="720" w:hanging="720"/>
        <w:jc w:val="both"/>
        <w:rPr>
          <w:b/>
          <w:i/>
        </w:rPr>
      </w:pPr>
      <w:r>
        <w:t>5</w:t>
      </w:r>
      <w:r w:rsidR="00030E47">
        <w:t>.1</w:t>
      </w:r>
      <w:r w:rsidR="00030E47">
        <w:tab/>
      </w:r>
      <w:r w:rsidR="00D059B6" w:rsidRPr="00030E47">
        <w:t>The Single Integrated Plan &amp; Sustainability Impa</w:t>
      </w:r>
      <w:r w:rsidR="005B03DF">
        <w:t xml:space="preserve">ct Assessment has been completed </w:t>
      </w:r>
      <w:r w:rsidR="00D059B6" w:rsidRPr="00030E47">
        <w:t>and the proposals impact positively on people in Merthyr Tydfil having the opportunity and aspiration to learn and develop their skills to maximise their potential.  No negative impacts have been identified.</w:t>
      </w:r>
    </w:p>
    <w:p w:rsidR="00620CB7" w:rsidRPr="00352514" w:rsidRDefault="00620CB7" w:rsidP="00620CB7">
      <w:pPr>
        <w:pStyle w:val="Heading2"/>
        <w:spacing w:before="0" w:after="0"/>
        <w:ind w:left="720" w:hanging="720"/>
        <w:jc w:val="both"/>
        <w:rPr>
          <w:b w:val="0"/>
          <w:i w:val="0"/>
          <w:sz w:val="24"/>
          <w:szCs w:val="24"/>
        </w:rPr>
      </w:pPr>
    </w:p>
    <w:p w:rsidR="00620CB7" w:rsidRDefault="00BF61E5" w:rsidP="00620CB7">
      <w:pPr>
        <w:pStyle w:val="Heading2"/>
        <w:spacing w:before="0" w:after="0"/>
        <w:ind w:left="720" w:hanging="720"/>
        <w:jc w:val="both"/>
        <w:rPr>
          <w:i w:val="0"/>
        </w:rPr>
      </w:pPr>
      <w:r>
        <w:rPr>
          <w:i w:val="0"/>
        </w:rPr>
        <w:t>6</w:t>
      </w:r>
      <w:r w:rsidR="00620CB7">
        <w:rPr>
          <w:i w:val="0"/>
        </w:rPr>
        <w:t>.0</w:t>
      </w:r>
      <w:r w:rsidR="00620CB7">
        <w:rPr>
          <w:i w:val="0"/>
        </w:rPr>
        <w:tab/>
        <w:t>EQUALITY IMPACT ASSESSMENT</w:t>
      </w:r>
    </w:p>
    <w:p w:rsidR="00620CB7" w:rsidRDefault="00620CB7" w:rsidP="00620CB7"/>
    <w:p w:rsidR="00620CB7" w:rsidRDefault="00BF61E5" w:rsidP="00142081">
      <w:pPr>
        <w:pStyle w:val="ListParagraph"/>
        <w:ind w:left="709" w:hanging="709"/>
        <w:jc w:val="both"/>
        <w:rPr>
          <w:rFonts w:ascii="Arial" w:hAnsi="Arial" w:cs="Arial"/>
          <w:iCs/>
          <w:sz w:val="24"/>
          <w:szCs w:val="24"/>
        </w:rPr>
      </w:pPr>
      <w:r>
        <w:rPr>
          <w:rFonts w:ascii="Arial" w:hAnsi="Arial" w:cs="Arial"/>
          <w:iCs/>
          <w:sz w:val="24"/>
          <w:szCs w:val="24"/>
        </w:rPr>
        <w:t>6</w:t>
      </w:r>
      <w:r w:rsidR="00620CB7">
        <w:rPr>
          <w:rFonts w:ascii="Arial" w:hAnsi="Arial" w:cs="Arial"/>
          <w:iCs/>
          <w:sz w:val="24"/>
          <w:szCs w:val="24"/>
        </w:rPr>
        <w:t>.1</w:t>
      </w:r>
      <w:r w:rsidR="00620CB7">
        <w:rPr>
          <w:rFonts w:ascii="Arial" w:hAnsi="Arial" w:cs="Arial"/>
          <w:iCs/>
          <w:sz w:val="24"/>
          <w:szCs w:val="24"/>
        </w:rPr>
        <w:tab/>
        <w:t>An Equality Impact Assessment (EqIA) form has been prepared for the purpose of this report.  It has been found that a full assessment is not required at this time.  The form can be accessed on the Council’s website/intranet via the ‘Equality Impact Assessment’ link.  </w:t>
      </w:r>
    </w:p>
    <w:p w:rsidR="00620CB7" w:rsidRDefault="00620CB7" w:rsidP="00620CB7">
      <w:pPr>
        <w:pStyle w:val="BodyTextIndent"/>
        <w:ind w:left="720" w:hanging="720"/>
        <w:jc w:val="both"/>
      </w:pPr>
    </w:p>
    <w:p w:rsidR="00620CB7" w:rsidRDefault="00620CB7" w:rsidP="00620CB7">
      <w:pPr>
        <w:rPr>
          <w:b/>
          <w:bCs/>
        </w:rPr>
      </w:pPr>
    </w:p>
    <w:tbl>
      <w:tblPr>
        <w:tblW w:w="0" w:type="auto"/>
        <w:tblInd w:w="-34" w:type="dxa"/>
        <w:tblBorders>
          <w:insideV w:val="single" w:sz="4" w:space="0" w:color="auto"/>
        </w:tblBorders>
        <w:tblLook w:val="04A0" w:firstRow="1" w:lastRow="0" w:firstColumn="1" w:lastColumn="0" w:noHBand="0" w:noVBand="1"/>
      </w:tblPr>
      <w:tblGrid>
        <w:gridCol w:w="5015"/>
        <w:gridCol w:w="4908"/>
      </w:tblGrid>
      <w:tr w:rsidR="00620CB7" w:rsidRPr="00263A72" w:rsidTr="00263A72">
        <w:tc>
          <w:tcPr>
            <w:tcW w:w="5015" w:type="dxa"/>
            <w:shd w:val="clear" w:color="auto" w:fill="auto"/>
          </w:tcPr>
          <w:p w:rsidR="00620CB7" w:rsidRDefault="00491DBA" w:rsidP="00263A72">
            <w:pPr>
              <w:rPr>
                <w:b/>
                <w:bCs/>
                <w:i/>
              </w:rPr>
            </w:pPr>
            <w:r>
              <w:rPr>
                <w:b/>
                <w:bCs/>
                <w:i/>
              </w:rPr>
              <w:t>GARETH CHAPMAN</w:t>
            </w:r>
          </w:p>
          <w:p w:rsidR="00411F69" w:rsidRPr="00263A72" w:rsidRDefault="00411F69" w:rsidP="00263A72">
            <w:pPr>
              <w:rPr>
                <w:b/>
                <w:bCs/>
                <w:i/>
              </w:rPr>
            </w:pPr>
            <w:r>
              <w:rPr>
                <w:b/>
                <w:bCs/>
                <w:i/>
              </w:rPr>
              <w:t>CHIEF EXECUTIVE</w:t>
            </w:r>
          </w:p>
        </w:tc>
        <w:tc>
          <w:tcPr>
            <w:tcW w:w="4908" w:type="dxa"/>
            <w:shd w:val="clear" w:color="auto" w:fill="auto"/>
          </w:tcPr>
          <w:p w:rsidR="00232722" w:rsidRPr="00A616E3" w:rsidRDefault="00232722" w:rsidP="00232722">
            <w:pPr>
              <w:jc w:val="right"/>
              <w:rPr>
                <w:b/>
                <w:bCs/>
                <w:i/>
              </w:rPr>
            </w:pPr>
            <w:r w:rsidRPr="00A616E3">
              <w:rPr>
                <w:b/>
                <w:bCs/>
                <w:i/>
              </w:rPr>
              <w:t>C</w:t>
            </w:r>
            <w:r>
              <w:rPr>
                <w:b/>
                <w:bCs/>
                <w:i/>
              </w:rPr>
              <w:t>OUNCILLOR</w:t>
            </w:r>
            <w:r w:rsidRPr="00A616E3">
              <w:rPr>
                <w:b/>
                <w:bCs/>
                <w:i/>
              </w:rPr>
              <w:t xml:space="preserve"> </w:t>
            </w:r>
            <w:r w:rsidR="00E0299A">
              <w:rPr>
                <w:b/>
                <w:bCs/>
                <w:i/>
              </w:rPr>
              <w:t>PHIL WILLIAMS</w:t>
            </w:r>
            <w:r w:rsidRPr="00A616E3">
              <w:rPr>
                <w:b/>
                <w:bCs/>
                <w:i/>
              </w:rPr>
              <w:t xml:space="preserve">  </w:t>
            </w:r>
          </w:p>
          <w:p w:rsidR="00620CB7" w:rsidRPr="00263A72" w:rsidRDefault="00411F69" w:rsidP="00CE70A4">
            <w:pPr>
              <w:jc w:val="right"/>
              <w:rPr>
                <w:b/>
                <w:bCs/>
                <w:i/>
              </w:rPr>
            </w:pPr>
            <w:r>
              <w:rPr>
                <w:b/>
                <w:bCs/>
                <w:i/>
              </w:rPr>
              <w:t>CABINET MEMBER FOR GOVERNANCE AND CORPORATE SERVICES</w:t>
            </w:r>
          </w:p>
        </w:tc>
      </w:tr>
    </w:tbl>
    <w:p w:rsidR="00620CB7" w:rsidRDefault="00620CB7" w:rsidP="00620CB7">
      <w:pPr>
        <w:rPr>
          <w:b/>
          <w:bCs/>
        </w:rPr>
      </w:pPr>
    </w:p>
    <w:p w:rsidR="00620CB7" w:rsidRDefault="00620CB7" w:rsidP="00620CB7">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2977"/>
        <w:gridCol w:w="1581"/>
        <w:gridCol w:w="2104"/>
      </w:tblGrid>
      <w:tr w:rsidR="00620CB7" w:rsidTr="00263A72">
        <w:trPr>
          <w:cantSplit/>
        </w:trPr>
        <w:tc>
          <w:tcPr>
            <w:tcW w:w="9889" w:type="dxa"/>
            <w:gridSpan w:val="4"/>
            <w:tcBorders>
              <w:bottom w:val="single" w:sz="4" w:space="0" w:color="auto"/>
            </w:tcBorders>
          </w:tcPr>
          <w:p w:rsidR="00620CB7" w:rsidRPr="00CF1411" w:rsidRDefault="00620CB7" w:rsidP="00263A72">
            <w:pPr>
              <w:jc w:val="center"/>
              <w:rPr>
                <w:rFonts w:cs="Arial"/>
              </w:rPr>
            </w:pPr>
            <w:r w:rsidRPr="00CF1411">
              <w:rPr>
                <w:rFonts w:cs="Arial"/>
                <w:b/>
                <w:bCs/>
                <w:sz w:val="28"/>
              </w:rPr>
              <w:t>BACKGROUND PAPERS</w:t>
            </w:r>
          </w:p>
        </w:tc>
      </w:tr>
      <w:tr w:rsidR="00620CB7" w:rsidTr="005853B4">
        <w:tc>
          <w:tcPr>
            <w:tcW w:w="3227" w:type="dxa"/>
          </w:tcPr>
          <w:p w:rsidR="00620CB7" w:rsidRPr="00232E66" w:rsidRDefault="00620CB7" w:rsidP="00263A72">
            <w:pPr>
              <w:jc w:val="center"/>
              <w:rPr>
                <w:b/>
                <w:iCs/>
                <w:sz w:val="22"/>
                <w:szCs w:val="22"/>
              </w:rPr>
            </w:pPr>
            <w:r w:rsidRPr="00232E66">
              <w:rPr>
                <w:b/>
                <w:iCs/>
                <w:sz w:val="22"/>
                <w:szCs w:val="22"/>
              </w:rPr>
              <w:t>Title of Document(s)</w:t>
            </w:r>
          </w:p>
        </w:tc>
        <w:tc>
          <w:tcPr>
            <w:tcW w:w="2977" w:type="dxa"/>
          </w:tcPr>
          <w:p w:rsidR="00620CB7" w:rsidRPr="00232E66" w:rsidRDefault="00620CB7" w:rsidP="00263A72">
            <w:pPr>
              <w:jc w:val="center"/>
              <w:rPr>
                <w:b/>
                <w:iCs/>
                <w:sz w:val="22"/>
                <w:szCs w:val="22"/>
              </w:rPr>
            </w:pPr>
            <w:r w:rsidRPr="00232E66">
              <w:rPr>
                <w:b/>
                <w:iCs/>
                <w:sz w:val="22"/>
                <w:szCs w:val="22"/>
              </w:rPr>
              <w:t>Document(s) Date</w:t>
            </w:r>
          </w:p>
        </w:tc>
        <w:tc>
          <w:tcPr>
            <w:tcW w:w="3685" w:type="dxa"/>
            <w:gridSpan w:val="2"/>
          </w:tcPr>
          <w:p w:rsidR="00620CB7" w:rsidRPr="00232E66" w:rsidRDefault="00620CB7" w:rsidP="00263A72">
            <w:pPr>
              <w:jc w:val="center"/>
              <w:rPr>
                <w:b/>
                <w:iCs/>
                <w:sz w:val="22"/>
                <w:szCs w:val="22"/>
              </w:rPr>
            </w:pPr>
            <w:r w:rsidRPr="00232E66">
              <w:rPr>
                <w:b/>
                <w:iCs/>
                <w:sz w:val="22"/>
                <w:szCs w:val="22"/>
              </w:rPr>
              <w:t>Document Location</w:t>
            </w:r>
          </w:p>
        </w:tc>
      </w:tr>
      <w:tr w:rsidR="00620CB7" w:rsidTr="005853B4">
        <w:tc>
          <w:tcPr>
            <w:tcW w:w="3227" w:type="dxa"/>
          </w:tcPr>
          <w:p w:rsidR="00620CB7" w:rsidRDefault="00620CB7" w:rsidP="005B03DF"/>
        </w:tc>
        <w:tc>
          <w:tcPr>
            <w:tcW w:w="2977" w:type="dxa"/>
          </w:tcPr>
          <w:p w:rsidR="00620CB7" w:rsidRDefault="00620CB7" w:rsidP="00263A72">
            <w:pPr>
              <w:jc w:val="center"/>
            </w:pPr>
          </w:p>
        </w:tc>
        <w:tc>
          <w:tcPr>
            <w:tcW w:w="3685" w:type="dxa"/>
            <w:gridSpan w:val="2"/>
          </w:tcPr>
          <w:p w:rsidR="00620CB7" w:rsidRDefault="00620CB7" w:rsidP="00263A72">
            <w:pPr>
              <w:jc w:val="center"/>
            </w:pPr>
          </w:p>
        </w:tc>
      </w:tr>
      <w:tr w:rsidR="00620CB7" w:rsidRPr="00723AC7" w:rsidTr="00263A72">
        <w:tc>
          <w:tcPr>
            <w:tcW w:w="7785" w:type="dxa"/>
            <w:gridSpan w:val="3"/>
            <w:shd w:val="pct10" w:color="auto" w:fill="auto"/>
          </w:tcPr>
          <w:p w:rsidR="00620CB7" w:rsidRPr="007C73BC" w:rsidRDefault="00620CB7" w:rsidP="00263A72">
            <w:pPr>
              <w:jc w:val="both"/>
              <w:rPr>
                <w:b/>
                <w:iCs/>
                <w:sz w:val="8"/>
                <w:szCs w:val="8"/>
              </w:rPr>
            </w:pPr>
          </w:p>
          <w:p w:rsidR="00620CB7" w:rsidRDefault="00620CB7" w:rsidP="00263A72">
            <w:pPr>
              <w:jc w:val="both"/>
              <w:rPr>
                <w:b/>
                <w:iCs/>
                <w:sz w:val="22"/>
                <w:szCs w:val="22"/>
              </w:rPr>
            </w:pPr>
            <w:r w:rsidRPr="00723AC7">
              <w:rPr>
                <w:b/>
                <w:iCs/>
                <w:sz w:val="22"/>
                <w:szCs w:val="22"/>
              </w:rPr>
              <w:t xml:space="preserve">Does the report contain any issue that may impact the Council’s Constitution? </w:t>
            </w:r>
          </w:p>
          <w:p w:rsidR="00620CB7" w:rsidRPr="00352514" w:rsidRDefault="00620CB7" w:rsidP="00263A72">
            <w:pPr>
              <w:jc w:val="both"/>
              <w:rPr>
                <w:b/>
                <w:iCs/>
                <w:sz w:val="8"/>
                <w:szCs w:val="8"/>
              </w:rPr>
            </w:pPr>
          </w:p>
        </w:tc>
        <w:tc>
          <w:tcPr>
            <w:tcW w:w="2104" w:type="dxa"/>
            <w:shd w:val="pct10" w:color="auto" w:fill="auto"/>
          </w:tcPr>
          <w:p w:rsidR="00620CB7" w:rsidRPr="00723AC7" w:rsidRDefault="00D059B6" w:rsidP="00263A72">
            <w:pPr>
              <w:jc w:val="center"/>
              <w:rPr>
                <w:b/>
                <w:iCs/>
              </w:rPr>
            </w:pPr>
            <w:r>
              <w:rPr>
                <w:b/>
                <w:iCs/>
              </w:rPr>
              <w:t>No</w:t>
            </w:r>
          </w:p>
        </w:tc>
      </w:tr>
    </w:tbl>
    <w:p w:rsidR="00620CB7" w:rsidRDefault="00620CB7" w:rsidP="00620CB7">
      <w:pPr>
        <w:jc w:val="center"/>
        <w:rPr>
          <w:b/>
          <w:bCs/>
          <w:i/>
          <w:iCs/>
        </w:rPr>
      </w:pPr>
    </w:p>
    <w:p w:rsidR="00620CB7" w:rsidRDefault="00620CB7" w:rsidP="00620CB7">
      <w:pPr>
        <w:jc w:val="center"/>
        <w:rPr>
          <w:b/>
          <w:bCs/>
        </w:rPr>
      </w:pPr>
      <w:r>
        <w:rPr>
          <w:b/>
          <w:bCs/>
          <w:i/>
          <w:iCs/>
        </w:rPr>
        <w:t xml:space="preserve">Consultation has been undertaken with the Corporate Management Team in respect of each proposal(s) and recommendation(s) set out in this report. </w:t>
      </w:r>
    </w:p>
    <w:p w:rsidR="0025602E" w:rsidRPr="00B66F72" w:rsidRDefault="0025602E" w:rsidP="00620CB7">
      <w:pPr>
        <w:pStyle w:val="Heading1"/>
        <w:rPr>
          <w:bCs w:val="0"/>
        </w:rPr>
      </w:pPr>
    </w:p>
    <w:sectPr w:rsidR="0025602E" w:rsidRPr="00B66F72" w:rsidSect="00E0299A">
      <w:pgSz w:w="11906" w:h="16838"/>
      <w:pgMar w:top="993" w:right="720" w:bottom="1440" w:left="720" w:header="706" w:footer="706" w:gutter="7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27B" w:rsidRDefault="0080227B">
      <w:r>
        <w:separator/>
      </w:r>
    </w:p>
  </w:endnote>
  <w:endnote w:type="continuationSeparator" w:id="0">
    <w:p w:rsidR="0080227B" w:rsidRDefault="0080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27B" w:rsidRDefault="0080227B">
      <w:r>
        <w:separator/>
      </w:r>
    </w:p>
  </w:footnote>
  <w:footnote w:type="continuationSeparator" w:id="0">
    <w:p w:rsidR="0080227B" w:rsidRDefault="00802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0B4"/>
    <w:multiLevelType w:val="hybridMultilevel"/>
    <w:tmpl w:val="71AAF22A"/>
    <w:lvl w:ilvl="0" w:tplc="90024A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B8513C"/>
    <w:multiLevelType w:val="hybridMultilevel"/>
    <w:tmpl w:val="4C5A7B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1B80FDD"/>
    <w:multiLevelType w:val="hybridMultilevel"/>
    <w:tmpl w:val="CDCEED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1D4251"/>
    <w:multiLevelType w:val="hybridMultilevel"/>
    <w:tmpl w:val="4848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885D7A"/>
    <w:multiLevelType w:val="multilevel"/>
    <w:tmpl w:val="BB4831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ED66942"/>
    <w:multiLevelType w:val="multilevel"/>
    <w:tmpl w:val="2A94D2D0"/>
    <w:lvl w:ilvl="0">
      <w:start w:val="5"/>
      <w:numFmt w:val="decimal"/>
      <w:lvlText w:val="%1.0"/>
      <w:lvlJc w:val="left"/>
      <w:pPr>
        <w:ind w:left="720" w:hanging="720"/>
      </w:pPr>
      <w:rPr>
        <w:rFonts w:hint="default"/>
        <w:b/>
        <w:sz w:val="28"/>
        <w:szCs w:val="28"/>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4FA7624"/>
    <w:multiLevelType w:val="hybridMultilevel"/>
    <w:tmpl w:val="10A04E4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nsid w:val="19227139"/>
    <w:multiLevelType w:val="hybridMultilevel"/>
    <w:tmpl w:val="BBF2B7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EC354DB"/>
    <w:multiLevelType w:val="hybridMultilevel"/>
    <w:tmpl w:val="E57AF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FA0D4F"/>
    <w:multiLevelType w:val="multilevel"/>
    <w:tmpl w:val="820EC2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0626A2D"/>
    <w:multiLevelType w:val="hybridMultilevel"/>
    <w:tmpl w:val="32E866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0881432"/>
    <w:multiLevelType w:val="hybridMultilevel"/>
    <w:tmpl w:val="E4A059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494432F"/>
    <w:multiLevelType w:val="multilevel"/>
    <w:tmpl w:val="2A94D2D0"/>
    <w:lvl w:ilvl="0">
      <w:start w:val="5"/>
      <w:numFmt w:val="decimal"/>
      <w:lvlText w:val="%1.0"/>
      <w:lvlJc w:val="left"/>
      <w:pPr>
        <w:ind w:left="720" w:hanging="720"/>
      </w:pPr>
      <w:rPr>
        <w:rFonts w:hint="default"/>
        <w:b/>
        <w:sz w:val="28"/>
        <w:szCs w:val="28"/>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3FD17205"/>
    <w:multiLevelType w:val="hybridMultilevel"/>
    <w:tmpl w:val="D6527E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04C7067"/>
    <w:multiLevelType w:val="hybridMultilevel"/>
    <w:tmpl w:val="FF923A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8A6572C"/>
    <w:multiLevelType w:val="hybridMultilevel"/>
    <w:tmpl w:val="1C8C681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50CC6B1C"/>
    <w:multiLevelType w:val="hybridMultilevel"/>
    <w:tmpl w:val="D73E18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3CF60F2"/>
    <w:multiLevelType w:val="hybridMultilevel"/>
    <w:tmpl w:val="FFD89646"/>
    <w:lvl w:ilvl="0" w:tplc="9D962162">
      <w:numFmt w:val="bullet"/>
      <w:lvlText w:val="-"/>
      <w:lvlJc w:val="left"/>
      <w:pPr>
        <w:ind w:left="1080" w:hanging="360"/>
      </w:pPr>
      <w:rPr>
        <w:rFonts w:ascii="Calibri" w:eastAsia="Calibri" w:hAnsi="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nsid w:val="563E46A8"/>
    <w:multiLevelType w:val="hybridMultilevel"/>
    <w:tmpl w:val="C45EC0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9445B87"/>
    <w:multiLevelType w:val="multilevel"/>
    <w:tmpl w:val="3FE0E52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A221954"/>
    <w:multiLevelType w:val="multilevel"/>
    <w:tmpl w:val="F02680AC"/>
    <w:lvl w:ilvl="0">
      <w:start w:val="1"/>
      <w:numFmt w:val="decimal"/>
      <w:lvlText w:val="%1.0"/>
      <w:lvlJc w:val="left"/>
      <w:pPr>
        <w:tabs>
          <w:tab w:val="num" w:pos="720"/>
        </w:tabs>
        <w:ind w:left="720" w:hanging="720"/>
      </w:pPr>
      <w:rPr>
        <w:rFonts w:hint="default"/>
        <w:i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5C2F3BA7"/>
    <w:multiLevelType w:val="hybridMultilevel"/>
    <w:tmpl w:val="4EA68C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CB0278D"/>
    <w:multiLevelType w:val="hybridMultilevel"/>
    <w:tmpl w:val="01FEE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EFA798E"/>
    <w:multiLevelType w:val="hybridMultilevel"/>
    <w:tmpl w:val="26A842DA"/>
    <w:lvl w:ilvl="0" w:tplc="2376A7A0">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nsid w:val="6FBA02E1"/>
    <w:multiLevelType w:val="multilevel"/>
    <w:tmpl w:val="65CEF05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A29482B"/>
    <w:multiLevelType w:val="hybridMultilevel"/>
    <w:tmpl w:val="D408DA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D81056F"/>
    <w:multiLevelType w:val="hybridMultilevel"/>
    <w:tmpl w:val="288E488E"/>
    <w:lvl w:ilvl="0" w:tplc="F306DC6C">
      <w:start w:val="1"/>
      <w:numFmt w:val="bullet"/>
      <w:lvlText w:val=""/>
      <w:lvlJc w:val="left"/>
      <w:pPr>
        <w:ind w:left="1080" w:hanging="360"/>
      </w:pPr>
      <w:rPr>
        <w:rFonts w:ascii="Symbol" w:hAnsi="Symbol" w:hint="default"/>
        <w:b/>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3"/>
  </w:num>
  <w:num w:numId="5">
    <w:abstractNumId w:val="14"/>
  </w:num>
  <w:num w:numId="6">
    <w:abstractNumId w:val="25"/>
  </w:num>
  <w:num w:numId="7">
    <w:abstractNumId w:val="2"/>
  </w:num>
  <w:num w:numId="8">
    <w:abstractNumId w:val="5"/>
  </w:num>
  <w:num w:numId="9">
    <w:abstractNumId w:val="9"/>
  </w:num>
  <w:num w:numId="10">
    <w:abstractNumId w:val="19"/>
  </w:num>
  <w:num w:numId="11">
    <w:abstractNumId w:val="12"/>
  </w:num>
  <w:num w:numId="12">
    <w:abstractNumId w:val="0"/>
  </w:num>
  <w:num w:numId="13">
    <w:abstractNumId w:val="22"/>
  </w:num>
  <w:num w:numId="14">
    <w:abstractNumId w:val="26"/>
  </w:num>
  <w:num w:numId="15">
    <w:abstractNumId w:val="8"/>
  </w:num>
  <w:num w:numId="16">
    <w:abstractNumId w:val="7"/>
  </w:num>
  <w:num w:numId="17">
    <w:abstractNumId w:val="1"/>
  </w:num>
  <w:num w:numId="18">
    <w:abstractNumId w:val="16"/>
  </w:num>
  <w:num w:numId="19">
    <w:abstractNumId w:val="21"/>
  </w:num>
  <w:num w:numId="20">
    <w:abstractNumId w:val="13"/>
  </w:num>
  <w:num w:numId="21">
    <w:abstractNumId w:val="15"/>
  </w:num>
  <w:num w:numId="22">
    <w:abstractNumId w:val="6"/>
  </w:num>
  <w:num w:numId="23">
    <w:abstractNumId w:val="10"/>
  </w:num>
  <w:num w:numId="24">
    <w:abstractNumId w:val="18"/>
  </w:num>
  <w:num w:numId="25">
    <w:abstractNumId w:val="24"/>
  </w:num>
  <w:num w:numId="26">
    <w:abstractNumId w:val="17"/>
  </w:num>
  <w:num w:numId="27">
    <w:abstractNumId w:val="1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9D"/>
    <w:rsid w:val="00002EF2"/>
    <w:rsid w:val="00007798"/>
    <w:rsid w:val="00030E47"/>
    <w:rsid w:val="000C63F7"/>
    <w:rsid w:val="000D3D3D"/>
    <w:rsid w:val="001079DA"/>
    <w:rsid w:val="001172C9"/>
    <w:rsid w:val="001247DA"/>
    <w:rsid w:val="00131F55"/>
    <w:rsid w:val="00142081"/>
    <w:rsid w:val="001506EC"/>
    <w:rsid w:val="001643CC"/>
    <w:rsid w:val="0017744E"/>
    <w:rsid w:val="00187492"/>
    <w:rsid w:val="001A212C"/>
    <w:rsid w:val="001E470B"/>
    <w:rsid w:val="00204C4B"/>
    <w:rsid w:val="00232722"/>
    <w:rsid w:val="00232E66"/>
    <w:rsid w:val="0023576E"/>
    <w:rsid w:val="002531B6"/>
    <w:rsid w:val="0025500E"/>
    <w:rsid w:val="0025602E"/>
    <w:rsid w:val="002608E7"/>
    <w:rsid w:val="00263A72"/>
    <w:rsid w:val="00276558"/>
    <w:rsid w:val="00290FB3"/>
    <w:rsid w:val="002B02E4"/>
    <w:rsid w:val="002C1336"/>
    <w:rsid w:val="002C4703"/>
    <w:rsid w:val="002D12FA"/>
    <w:rsid w:val="002E0284"/>
    <w:rsid w:val="002F2C42"/>
    <w:rsid w:val="002F3F7B"/>
    <w:rsid w:val="00303980"/>
    <w:rsid w:val="003054AF"/>
    <w:rsid w:val="00311235"/>
    <w:rsid w:val="00321C30"/>
    <w:rsid w:val="00331120"/>
    <w:rsid w:val="003539DF"/>
    <w:rsid w:val="0037572B"/>
    <w:rsid w:val="00387686"/>
    <w:rsid w:val="00390A42"/>
    <w:rsid w:val="003C21A8"/>
    <w:rsid w:val="003C35CA"/>
    <w:rsid w:val="003E1623"/>
    <w:rsid w:val="003F6EF1"/>
    <w:rsid w:val="00411F69"/>
    <w:rsid w:val="004517A7"/>
    <w:rsid w:val="00452A9D"/>
    <w:rsid w:val="00463ED0"/>
    <w:rsid w:val="00470815"/>
    <w:rsid w:val="00491DBA"/>
    <w:rsid w:val="00492E5E"/>
    <w:rsid w:val="00495568"/>
    <w:rsid w:val="004962CD"/>
    <w:rsid w:val="004B7ABC"/>
    <w:rsid w:val="004D24C1"/>
    <w:rsid w:val="004F6890"/>
    <w:rsid w:val="00504FB0"/>
    <w:rsid w:val="00515241"/>
    <w:rsid w:val="00572A03"/>
    <w:rsid w:val="005853B4"/>
    <w:rsid w:val="00593ECC"/>
    <w:rsid w:val="005B03DF"/>
    <w:rsid w:val="005B1FE4"/>
    <w:rsid w:val="005C4F93"/>
    <w:rsid w:val="005C75F5"/>
    <w:rsid w:val="005D05D8"/>
    <w:rsid w:val="005D7226"/>
    <w:rsid w:val="005E3E4F"/>
    <w:rsid w:val="006073C4"/>
    <w:rsid w:val="00620CB7"/>
    <w:rsid w:val="006328B8"/>
    <w:rsid w:val="006607CE"/>
    <w:rsid w:val="00666E32"/>
    <w:rsid w:val="00670A73"/>
    <w:rsid w:val="006A2945"/>
    <w:rsid w:val="006B3B72"/>
    <w:rsid w:val="006B5459"/>
    <w:rsid w:val="006D3C1E"/>
    <w:rsid w:val="006F62D6"/>
    <w:rsid w:val="0071703E"/>
    <w:rsid w:val="00723AC7"/>
    <w:rsid w:val="00731666"/>
    <w:rsid w:val="007403EB"/>
    <w:rsid w:val="00742ABD"/>
    <w:rsid w:val="007700AD"/>
    <w:rsid w:val="007769A2"/>
    <w:rsid w:val="00782A4B"/>
    <w:rsid w:val="007A28E2"/>
    <w:rsid w:val="007B7CE7"/>
    <w:rsid w:val="007D33DF"/>
    <w:rsid w:val="007D6BC7"/>
    <w:rsid w:val="007E0E8F"/>
    <w:rsid w:val="008002F0"/>
    <w:rsid w:val="0080227B"/>
    <w:rsid w:val="008551EA"/>
    <w:rsid w:val="00887126"/>
    <w:rsid w:val="00890CB0"/>
    <w:rsid w:val="008A5438"/>
    <w:rsid w:val="008D5AE1"/>
    <w:rsid w:val="008E7DBA"/>
    <w:rsid w:val="008F206C"/>
    <w:rsid w:val="00903548"/>
    <w:rsid w:val="0091296A"/>
    <w:rsid w:val="00925A72"/>
    <w:rsid w:val="00964845"/>
    <w:rsid w:val="009A1A9B"/>
    <w:rsid w:val="00A06D47"/>
    <w:rsid w:val="00A826BB"/>
    <w:rsid w:val="00A835BF"/>
    <w:rsid w:val="00AA5619"/>
    <w:rsid w:val="00AA58B9"/>
    <w:rsid w:val="00AC25FE"/>
    <w:rsid w:val="00B271E4"/>
    <w:rsid w:val="00B334D7"/>
    <w:rsid w:val="00B66F72"/>
    <w:rsid w:val="00B67070"/>
    <w:rsid w:val="00B715F3"/>
    <w:rsid w:val="00BA5A3A"/>
    <w:rsid w:val="00BB49EE"/>
    <w:rsid w:val="00BC76AC"/>
    <w:rsid w:val="00BD0105"/>
    <w:rsid w:val="00BE53FA"/>
    <w:rsid w:val="00BF61E5"/>
    <w:rsid w:val="00BF7252"/>
    <w:rsid w:val="00BF79DA"/>
    <w:rsid w:val="00C05B81"/>
    <w:rsid w:val="00C11674"/>
    <w:rsid w:val="00C22BED"/>
    <w:rsid w:val="00C375C2"/>
    <w:rsid w:val="00C43EEE"/>
    <w:rsid w:val="00C44A4A"/>
    <w:rsid w:val="00C65821"/>
    <w:rsid w:val="00C94888"/>
    <w:rsid w:val="00CD22F2"/>
    <w:rsid w:val="00CD5EF9"/>
    <w:rsid w:val="00CE70A4"/>
    <w:rsid w:val="00CF1411"/>
    <w:rsid w:val="00D013AB"/>
    <w:rsid w:val="00D01D6A"/>
    <w:rsid w:val="00D059B6"/>
    <w:rsid w:val="00D12798"/>
    <w:rsid w:val="00D1562A"/>
    <w:rsid w:val="00D27E58"/>
    <w:rsid w:val="00D4579B"/>
    <w:rsid w:val="00D52D40"/>
    <w:rsid w:val="00D814C8"/>
    <w:rsid w:val="00DA56B1"/>
    <w:rsid w:val="00DE7DD3"/>
    <w:rsid w:val="00E005C7"/>
    <w:rsid w:val="00E0299A"/>
    <w:rsid w:val="00E169CA"/>
    <w:rsid w:val="00E31039"/>
    <w:rsid w:val="00E9774B"/>
    <w:rsid w:val="00EB68ED"/>
    <w:rsid w:val="00EC51C5"/>
    <w:rsid w:val="00ED01B7"/>
    <w:rsid w:val="00EE2387"/>
    <w:rsid w:val="00EE6282"/>
    <w:rsid w:val="00FC3CE2"/>
    <w:rsid w:val="00FC4267"/>
    <w:rsid w:val="00FE45F4"/>
    <w:rsid w:val="00FF4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548"/>
    <w:rPr>
      <w:rFonts w:ascii="Arial" w:hAnsi="Arial"/>
      <w:sz w:val="24"/>
      <w:szCs w:val="24"/>
      <w:lang w:eastAsia="en-US"/>
    </w:rPr>
  </w:style>
  <w:style w:type="paragraph" w:styleId="Heading1">
    <w:name w:val="heading 1"/>
    <w:basedOn w:val="Normal"/>
    <w:next w:val="Normal"/>
    <w:link w:val="Heading1Char"/>
    <w:qFormat/>
    <w:pPr>
      <w:keepNext/>
      <w:spacing w:before="240" w:after="60"/>
      <w:outlineLvl w:val="0"/>
    </w:pPr>
    <w:rPr>
      <w:b/>
      <w:bCs/>
      <w:kern w:val="32"/>
      <w:sz w:val="32"/>
      <w:szCs w:val="32"/>
      <w:lang w:val="x-none"/>
    </w:rPr>
  </w:style>
  <w:style w:type="paragraph" w:styleId="Heading2">
    <w:name w:val="heading 2"/>
    <w:basedOn w:val="Normal"/>
    <w:next w:val="Normal"/>
    <w:link w:val="Heading2Char"/>
    <w:qFormat/>
    <w:pPr>
      <w:keepNext/>
      <w:spacing w:before="240" w:after="60"/>
      <w:outlineLvl w:val="1"/>
    </w:pPr>
    <w:rPr>
      <w:b/>
      <w:bCs/>
      <w:i/>
      <w:iCs/>
      <w:sz w:val="28"/>
      <w:szCs w:val="28"/>
      <w:lang w:val="x-none"/>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x-none"/>
    </w:r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Strong">
    <w:name w:val="Strong"/>
    <w:qFormat/>
    <w:rPr>
      <w:b/>
      <w:bCs/>
    </w:rPr>
  </w:style>
  <w:style w:type="paragraph" w:styleId="BodyText">
    <w:name w:val="Body Text"/>
    <w:basedOn w:val="Normal"/>
    <w:pPr>
      <w:jc w:val="both"/>
    </w:pPr>
    <w:rPr>
      <w:szCs w:val="20"/>
    </w:rPr>
  </w:style>
  <w:style w:type="character" w:styleId="FollowedHyperlink">
    <w:name w:val="FollowedHyperlink"/>
    <w:rPr>
      <w:color w:val="800080"/>
      <w:u w:val="single"/>
    </w:rPr>
  </w:style>
  <w:style w:type="paragraph" w:styleId="BodyTextIndent">
    <w:name w:val="Body Text Indent"/>
    <w:basedOn w:val="Normal"/>
    <w:link w:val="BodyTextIndentChar"/>
    <w:rsid w:val="002F2C42"/>
    <w:pPr>
      <w:spacing w:after="120"/>
      <w:ind w:left="283"/>
    </w:pPr>
    <w:rPr>
      <w:lang w:val="x-none"/>
    </w:rPr>
  </w:style>
  <w:style w:type="paragraph" w:styleId="ListParagraph">
    <w:name w:val="List Paragraph"/>
    <w:basedOn w:val="Normal"/>
    <w:uiPriority w:val="34"/>
    <w:qFormat/>
    <w:rsid w:val="00C94888"/>
    <w:pPr>
      <w:ind w:left="720"/>
    </w:pPr>
    <w:rPr>
      <w:rFonts w:ascii="Calibri" w:eastAsia="Calibri" w:hAnsi="Calibri" w:cs="Calibri"/>
      <w:sz w:val="22"/>
      <w:szCs w:val="22"/>
    </w:rPr>
  </w:style>
  <w:style w:type="character" w:customStyle="1" w:styleId="HeaderChar">
    <w:name w:val="Header Char"/>
    <w:link w:val="Header"/>
    <w:rsid w:val="007A28E2"/>
    <w:rPr>
      <w:rFonts w:ascii="Arial" w:hAnsi="Arial"/>
      <w:sz w:val="24"/>
      <w:szCs w:val="24"/>
      <w:lang w:eastAsia="en-US"/>
    </w:rPr>
  </w:style>
  <w:style w:type="character" w:customStyle="1" w:styleId="Heading1Char">
    <w:name w:val="Heading 1 Char"/>
    <w:link w:val="Heading1"/>
    <w:rsid w:val="00620CB7"/>
    <w:rPr>
      <w:rFonts w:ascii="Arial" w:hAnsi="Arial" w:cs="Arial"/>
      <w:b/>
      <w:bCs/>
      <w:kern w:val="32"/>
      <w:sz w:val="32"/>
      <w:szCs w:val="32"/>
      <w:lang w:eastAsia="en-US"/>
    </w:rPr>
  </w:style>
  <w:style w:type="character" w:customStyle="1" w:styleId="Heading2Char">
    <w:name w:val="Heading 2 Char"/>
    <w:link w:val="Heading2"/>
    <w:rsid w:val="00620CB7"/>
    <w:rPr>
      <w:rFonts w:ascii="Arial" w:hAnsi="Arial" w:cs="Arial"/>
      <w:b/>
      <w:bCs/>
      <w:i/>
      <w:iCs/>
      <w:sz w:val="28"/>
      <w:szCs w:val="28"/>
      <w:lang w:eastAsia="en-US"/>
    </w:rPr>
  </w:style>
  <w:style w:type="character" w:customStyle="1" w:styleId="BodyTextIndentChar">
    <w:name w:val="Body Text Indent Char"/>
    <w:link w:val="BodyTextIndent"/>
    <w:rsid w:val="00620CB7"/>
    <w:rPr>
      <w:rFonts w:ascii="Arial" w:hAnsi="Arial"/>
      <w:sz w:val="24"/>
      <w:szCs w:val="24"/>
      <w:lang w:eastAsia="en-US"/>
    </w:rPr>
  </w:style>
  <w:style w:type="table" w:styleId="TableGrid">
    <w:name w:val="Table Grid"/>
    <w:basedOn w:val="TableNormal"/>
    <w:rsid w:val="00620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354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E169CA"/>
    <w:rPr>
      <w:rFonts w:ascii="Tahoma" w:hAnsi="Tahoma" w:cs="Tahoma"/>
      <w:sz w:val="16"/>
      <w:szCs w:val="16"/>
    </w:rPr>
  </w:style>
  <w:style w:type="character" w:customStyle="1" w:styleId="BalloonTextChar">
    <w:name w:val="Balloon Text Char"/>
    <w:link w:val="BalloonText"/>
    <w:rsid w:val="00E169CA"/>
    <w:rPr>
      <w:rFonts w:ascii="Tahoma" w:hAnsi="Tahoma" w:cs="Tahoma"/>
      <w:sz w:val="16"/>
      <w:szCs w:val="16"/>
      <w:lang w:eastAsia="en-US"/>
    </w:rPr>
  </w:style>
  <w:style w:type="paragraph" w:styleId="NoSpacing">
    <w:name w:val="No Spacing"/>
    <w:uiPriority w:val="1"/>
    <w:qFormat/>
    <w:rsid w:val="00411F69"/>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548"/>
    <w:rPr>
      <w:rFonts w:ascii="Arial" w:hAnsi="Arial"/>
      <w:sz w:val="24"/>
      <w:szCs w:val="24"/>
      <w:lang w:eastAsia="en-US"/>
    </w:rPr>
  </w:style>
  <w:style w:type="paragraph" w:styleId="Heading1">
    <w:name w:val="heading 1"/>
    <w:basedOn w:val="Normal"/>
    <w:next w:val="Normal"/>
    <w:link w:val="Heading1Char"/>
    <w:qFormat/>
    <w:pPr>
      <w:keepNext/>
      <w:spacing w:before="240" w:after="60"/>
      <w:outlineLvl w:val="0"/>
    </w:pPr>
    <w:rPr>
      <w:b/>
      <w:bCs/>
      <w:kern w:val="32"/>
      <w:sz w:val="32"/>
      <w:szCs w:val="32"/>
      <w:lang w:val="x-none"/>
    </w:rPr>
  </w:style>
  <w:style w:type="paragraph" w:styleId="Heading2">
    <w:name w:val="heading 2"/>
    <w:basedOn w:val="Normal"/>
    <w:next w:val="Normal"/>
    <w:link w:val="Heading2Char"/>
    <w:qFormat/>
    <w:pPr>
      <w:keepNext/>
      <w:spacing w:before="240" w:after="60"/>
      <w:outlineLvl w:val="1"/>
    </w:pPr>
    <w:rPr>
      <w:b/>
      <w:bCs/>
      <w:i/>
      <w:iCs/>
      <w:sz w:val="28"/>
      <w:szCs w:val="28"/>
      <w:lang w:val="x-none"/>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x-none"/>
    </w:r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Strong">
    <w:name w:val="Strong"/>
    <w:qFormat/>
    <w:rPr>
      <w:b/>
      <w:bCs/>
    </w:rPr>
  </w:style>
  <w:style w:type="paragraph" w:styleId="BodyText">
    <w:name w:val="Body Text"/>
    <w:basedOn w:val="Normal"/>
    <w:pPr>
      <w:jc w:val="both"/>
    </w:pPr>
    <w:rPr>
      <w:szCs w:val="20"/>
    </w:rPr>
  </w:style>
  <w:style w:type="character" w:styleId="FollowedHyperlink">
    <w:name w:val="FollowedHyperlink"/>
    <w:rPr>
      <w:color w:val="800080"/>
      <w:u w:val="single"/>
    </w:rPr>
  </w:style>
  <w:style w:type="paragraph" w:styleId="BodyTextIndent">
    <w:name w:val="Body Text Indent"/>
    <w:basedOn w:val="Normal"/>
    <w:link w:val="BodyTextIndentChar"/>
    <w:rsid w:val="002F2C42"/>
    <w:pPr>
      <w:spacing w:after="120"/>
      <w:ind w:left="283"/>
    </w:pPr>
    <w:rPr>
      <w:lang w:val="x-none"/>
    </w:rPr>
  </w:style>
  <w:style w:type="paragraph" w:styleId="ListParagraph">
    <w:name w:val="List Paragraph"/>
    <w:basedOn w:val="Normal"/>
    <w:uiPriority w:val="34"/>
    <w:qFormat/>
    <w:rsid w:val="00C94888"/>
    <w:pPr>
      <w:ind w:left="720"/>
    </w:pPr>
    <w:rPr>
      <w:rFonts w:ascii="Calibri" w:eastAsia="Calibri" w:hAnsi="Calibri" w:cs="Calibri"/>
      <w:sz w:val="22"/>
      <w:szCs w:val="22"/>
    </w:rPr>
  </w:style>
  <w:style w:type="character" w:customStyle="1" w:styleId="HeaderChar">
    <w:name w:val="Header Char"/>
    <w:link w:val="Header"/>
    <w:rsid w:val="007A28E2"/>
    <w:rPr>
      <w:rFonts w:ascii="Arial" w:hAnsi="Arial"/>
      <w:sz w:val="24"/>
      <w:szCs w:val="24"/>
      <w:lang w:eastAsia="en-US"/>
    </w:rPr>
  </w:style>
  <w:style w:type="character" w:customStyle="1" w:styleId="Heading1Char">
    <w:name w:val="Heading 1 Char"/>
    <w:link w:val="Heading1"/>
    <w:rsid w:val="00620CB7"/>
    <w:rPr>
      <w:rFonts w:ascii="Arial" w:hAnsi="Arial" w:cs="Arial"/>
      <w:b/>
      <w:bCs/>
      <w:kern w:val="32"/>
      <w:sz w:val="32"/>
      <w:szCs w:val="32"/>
      <w:lang w:eastAsia="en-US"/>
    </w:rPr>
  </w:style>
  <w:style w:type="character" w:customStyle="1" w:styleId="Heading2Char">
    <w:name w:val="Heading 2 Char"/>
    <w:link w:val="Heading2"/>
    <w:rsid w:val="00620CB7"/>
    <w:rPr>
      <w:rFonts w:ascii="Arial" w:hAnsi="Arial" w:cs="Arial"/>
      <w:b/>
      <w:bCs/>
      <w:i/>
      <w:iCs/>
      <w:sz w:val="28"/>
      <w:szCs w:val="28"/>
      <w:lang w:eastAsia="en-US"/>
    </w:rPr>
  </w:style>
  <w:style w:type="character" w:customStyle="1" w:styleId="BodyTextIndentChar">
    <w:name w:val="Body Text Indent Char"/>
    <w:link w:val="BodyTextIndent"/>
    <w:rsid w:val="00620CB7"/>
    <w:rPr>
      <w:rFonts w:ascii="Arial" w:hAnsi="Arial"/>
      <w:sz w:val="24"/>
      <w:szCs w:val="24"/>
      <w:lang w:eastAsia="en-US"/>
    </w:rPr>
  </w:style>
  <w:style w:type="table" w:styleId="TableGrid">
    <w:name w:val="Table Grid"/>
    <w:basedOn w:val="TableNormal"/>
    <w:rsid w:val="00620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354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E169CA"/>
    <w:rPr>
      <w:rFonts w:ascii="Tahoma" w:hAnsi="Tahoma" w:cs="Tahoma"/>
      <w:sz w:val="16"/>
      <w:szCs w:val="16"/>
    </w:rPr>
  </w:style>
  <w:style w:type="character" w:customStyle="1" w:styleId="BalloonTextChar">
    <w:name w:val="Balloon Text Char"/>
    <w:link w:val="BalloonText"/>
    <w:rsid w:val="00E169CA"/>
    <w:rPr>
      <w:rFonts w:ascii="Tahoma" w:hAnsi="Tahoma" w:cs="Tahoma"/>
      <w:sz w:val="16"/>
      <w:szCs w:val="16"/>
      <w:lang w:eastAsia="en-US"/>
    </w:rPr>
  </w:style>
  <w:style w:type="paragraph" w:styleId="NoSpacing">
    <w:name w:val="No Spacing"/>
    <w:uiPriority w:val="1"/>
    <w:qFormat/>
    <w:rsid w:val="00411F69"/>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758383">
      <w:bodyDiv w:val="1"/>
      <w:marLeft w:val="0"/>
      <w:marRight w:val="0"/>
      <w:marTop w:val="0"/>
      <w:marBottom w:val="0"/>
      <w:divBdr>
        <w:top w:val="none" w:sz="0" w:space="0" w:color="auto"/>
        <w:left w:val="none" w:sz="0" w:space="0" w:color="auto"/>
        <w:bottom w:val="none" w:sz="0" w:space="0" w:color="auto"/>
        <w:right w:val="none" w:sz="0" w:space="0" w:color="auto"/>
      </w:divBdr>
    </w:div>
    <w:div w:id="702554726">
      <w:bodyDiv w:val="1"/>
      <w:marLeft w:val="0"/>
      <w:marRight w:val="0"/>
      <w:marTop w:val="0"/>
      <w:marBottom w:val="0"/>
      <w:divBdr>
        <w:top w:val="none" w:sz="0" w:space="0" w:color="auto"/>
        <w:left w:val="none" w:sz="0" w:space="0" w:color="auto"/>
        <w:bottom w:val="none" w:sz="0" w:space="0" w:color="auto"/>
        <w:right w:val="none" w:sz="0" w:space="0" w:color="auto"/>
      </w:divBdr>
    </w:div>
    <w:div w:id="979726961">
      <w:bodyDiv w:val="1"/>
      <w:marLeft w:val="0"/>
      <w:marRight w:val="0"/>
      <w:marTop w:val="0"/>
      <w:marBottom w:val="0"/>
      <w:divBdr>
        <w:top w:val="none" w:sz="0" w:space="0" w:color="auto"/>
        <w:left w:val="none" w:sz="0" w:space="0" w:color="auto"/>
        <w:bottom w:val="none" w:sz="0" w:space="0" w:color="auto"/>
        <w:right w:val="none" w:sz="0" w:space="0" w:color="auto"/>
      </w:divBdr>
    </w:div>
    <w:div w:id="1264995668">
      <w:bodyDiv w:val="1"/>
      <w:marLeft w:val="0"/>
      <w:marRight w:val="0"/>
      <w:marTop w:val="0"/>
      <w:marBottom w:val="0"/>
      <w:divBdr>
        <w:top w:val="none" w:sz="0" w:space="0" w:color="auto"/>
        <w:left w:val="none" w:sz="0" w:space="0" w:color="auto"/>
        <w:bottom w:val="none" w:sz="0" w:space="0" w:color="auto"/>
        <w:right w:val="none" w:sz="0" w:space="0" w:color="auto"/>
      </w:divBdr>
      <w:divsChild>
        <w:div w:id="275334734">
          <w:marLeft w:val="0"/>
          <w:marRight w:val="0"/>
          <w:marTop w:val="0"/>
          <w:marBottom w:val="0"/>
          <w:divBdr>
            <w:top w:val="none" w:sz="0" w:space="0" w:color="auto"/>
            <w:left w:val="none" w:sz="0" w:space="0" w:color="auto"/>
            <w:bottom w:val="none" w:sz="0" w:space="0" w:color="auto"/>
            <w:right w:val="none" w:sz="0" w:space="0" w:color="auto"/>
          </w:divBdr>
          <w:divsChild>
            <w:div w:id="420221073">
              <w:marLeft w:val="0"/>
              <w:marRight w:val="0"/>
              <w:marTop w:val="0"/>
              <w:marBottom w:val="0"/>
              <w:divBdr>
                <w:top w:val="none" w:sz="0" w:space="0" w:color="auto"/>
                <w:left w:val="none" w:sz="0" w:space="0" w:color="auto"/>
                <w:bottom w:val="none" w:sz="0" w:space="0" w:color="auto"/>
                <w:right w:val="none" w:sz="0" w:space="0" w:color="auto"/>
              </w:divBdr>
              <w:divsChild>
                <w:div w:id="843588411">
                  <w:marLeft w:val="0"/>
                  <w:marRight w:val="0"/>
                  <w:marTop w:val="0"/>
                  <w:marBottom w:val="0"/>
                  <w:divBdr>
                    <w:top w:val="none" w:sz="0" w:space="0" w:color="auto"/>
                    <w:left w:val="none" w:sz="0" w:space="0" w:color="auto"/>
                    <w:bottom w:val="none" w:sz="0" w:space="0" w:color="auto"/>
                    <w:right w:val="none" w:sz="0" w:space="0" w:color="auto"/>
                  </w:divBdr>
                  <w:divsChild>
                    <w:div w:id="1927155534">
                      <w:marLeft w:val="0"/>
                      <w:marRight w:val="0"/>
                      <w:marTop w:val="0"/>
                      <w:marBottom w:val="0"/>
                      <w:divBdr>
                        <w:top w:val="none" w:sz="0" w:space="0" w:color="auto"/>
                        <w:left w:val="none" w:sz="0" w:space="0" w:color="auto"/>
                        <w:bottom w:val="single" w:sz="18" w:space="26" w:color="555555"/>
                        <w:right w:val="none" w:sz="0" w:space="0" w:color="auto"/>
                      </w:divBdr>
                      <w:divsChild>
                        <w:div w:id="1029990283">
                          <w:marLeft w:val="0"/>
                          <w:marRight w:val="0"/>
                          <w:marTop w:val="0"/>
                          <w:marBottom w:val="0"/>
                          <w:divBdr>
                            <w:top w:val="none" w:sz="0" w:space="0" w:color="auto"/>
                            <w:left w:val="none" w:sz="0" w:space="0" w:color="auto"/>
                            <w:bottom w:val="none" w:sz="0" w:space="0" w:color="auto"/>
                            <w:right w:val="none" w:sz="0" w:space="0" w:color="auto"/>
                          </w:divBdr>
                          <w:divsChild>
                            <w:div w:id="2067221878">
                              <w:marLeft w:val="0"/>
                              <w:marRight w:val="0"/>
                              <w:marTop w:val="0"/>
                              <w:marBottom w:val="0"/>
                              <w:divBdr>
                                <w:top w:val="none" w:sz="0" w:space="0" w:color="auto"/>
                                <w:left w:val="none" w:sz="0" w:space="0" w:color="auto"/>
                                <w:bottom w:val="none" w:sz="0" w:space="0" w:color="auto"/>
                                <w:right w:val="none" w:sz="0" w:space="0" w:color="auto"/>
                              </w:divBdr>
                              <w:divsChild>
                                <w:div w:id="855968583">
                                  <w:marLeft w:val="0"/>
                                  <w:marRight w:val="0"/>
                                  <w:marTop w:val="0"/>
                                  <w:marBottom w:val="0"/>
                                  <w:divBdr>
                                    <w:top w:val="none" w:sz="0" w:space="0" w:color="auto"/>
                                    <w:left w:val="none" w:sz="0" w:space="0" w:color="auto"/>
                                    <w:bottom w:val="none" w:sz="0" w:space="0" w:color="auto"/>
                                    <w:right w:val="none" w:sz="0" w:space="0" w:color="auto"/>
                                  </w:divBdr>
                                </w:div>
                                <w:div w:id="983579125">
                                  <w:marLeft w:val="0"/>
                                  <w:marRight w:val="0"/>
                                  <w:marTop w:val="0"/>
                                  <w:marBottom w:val="0"/>
                                  <w:divBdr>
                                    <w:top w:val="none" w:sz="0" w:space="0" w:color="auto"/>
                                    <w:left w:val="none" w:sz="0" w:space="0" w:color="auto"/>
                                    <w:bottom w:val="none" w:sz="0" w:space="0" w:color="auto"/>
                                    <w:right w:val="none" w:sz="0" w:space="0" w:color="auto"/>
                                  </w:divBdr>
                                </w:div>
                                <w:div w:id="1088845570">
                                  <w:marLeft w:val="0"/>
                                  <w:marRight w:val="0"/>
                                  <w:marTop w:val="0"/>
                                  <w:marBottom w:val="0"/>
                                  <w:divBdr>
                                    <w:top w:val="none" w:sz="0" w:space="0" w:color="auto"/>
                                    <w:left w:val="none" w:sz="0" w:space="0" w:color="auto"/>
                                    <w:bottom w:val="none" w:sz="0" w:space="0" w:color="auto"/>
                                    <w:right w:val="none" w:sz="0" w:space="0" w:color="auto"/>
                                  </w:divBdr>
                                </w:div>
                                <w:div w:id="1358115837">
                                  <w:marLeft w:val="0"/>
                                  <w:marRight w:val="0"/>
                                  <w:marTop w:val="0"/>
                                  <w:marBottom w:val="0"/>
                                  <w:divBdr>
                                    <w:top w:val="none" w:sz="0" w:space="0" w:color="auto"/>
                                    <w:left w:val="none" w:sz="0" w:space="0" w:color="auto"/>
                                    <w:bottom w:val="none" w:sz="0" w:space="0" w:color="auto"/>
                                    <w:right w:val="none" w:sz="0" w:space="0" w:color="auto"/>
                                  </w:divBdr>
                                </w:div>
                                <w:div w:id="1903981978">
                                  <w:marLeft w:val="0"/>
                                  <w:marRight w:val="0"/>
                                  <w:marTop w:val="0"/>
                                  <w:marBottom w:val="0"/>
                                  <w:divBdr>
                                    <w:top w:val="none" w:sz="0" w:space="0" w:color="auto"/>
                                    <w:left w:val="none" w:sz="0" w:space="0" w:color="auto"/>
                                    <w:bottom w:val="none" w:sz="0" w:space="0" w:color="auto"/>
                                    <w:right w:val="none" w:sz="0" w:space="0" w:color="auto"/>
                                  </w:divBdr>
                                </w:div>
                                <w:div w:id="204979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193011">
      <w:bodyDiv w:val="1"/>
      <w:marLeft w:val="0"/>
      <w:marRight w:val="0"/>
      <w:marTop w:val="0"/>
      <w:marBottom w:val="0"/>
      <w:divBdr>
        <w:top w:val="none" w:sz="0" w:space="0" w:color="auto"/>
        <w:left w:val="none" w:sz="0" w:space="0" w:color="auto"/>
        <w:bottom w:val="none" w:sz="0" w:space="0" w:color="auto"/>
        <w:right w:val="none" w:sz="0" w:space="0" w:color="auto"/>
      </w:divBdr>
    </w:div>
    <w:div w:id="1729110040">
      <w:bodyDiv w:val="1"/>
      <w:marLeft w:val="0"/>
      <w:marRight w:val="0"/>
      <w:marTop w:val="0"/>
      <w:marBottom w:val="0"/>
      <w:divBdr>
        <w:top w:val="none" w:sz="0" w:space="0" w:color="auto"/>
        <w:left w:val="none" w:sz="0" w:space="0" w:color="auto"/>
        <w:bottom w:val="none" w:sz="0" w:space="0" w:color="auto"/>
        <w:right w:val="none" w:sz="0" w:space="0" w:color="auto"/>
      </w:divBdr>
    </w:div>
    <w:div w:id="1822186248">
      <w:bodyDiv w:val="1"/>
      <w:marLeft w:val="0"/>
      <w:marRight w:val="0"/>
      <w:marTop w:val="0"/>
      <w:marBottom w:val="0"/>
      <w:divBdr>
        <w:top w:val="none" w:sz="0" w:space="0" w:color="auto"/>
        <w:left w:val="none" w:sz="0" w:space="0" w:color="auto"/>
        <w:bottom w:val="none" w:sz="0" w:space="0" w:color="auto"/>
        <w:right w:val="none" w:sz="0" w:space="0" w:color="auto"/>
      </w:divBdr>
      <w:divsChild>
        <w:div w:id="1882086583">
          <w:marLeft w:val="0"/>
          <w:marRight w:val="0"/>
          <w:marTop w:val="0"/>
          <w:marBottom w:val="0"/>
          <w:divBdr>
            <w:top w:val="none" w:sz="0" w:space="0" w:color="auto"/>
            <w:left w:val="none" w:sz="0" w:space="0" w:color="auto"/>
            <w:bottom w:val="none" w:sz="0" w:space="0" w:color="auto"/>
            <w:right w:val="none" w:sz="0" w:space="0" w:color="auto"/>
          </w:divBdr>
          <w:divsChild>
            <w:div w:id="933589546">
              <w:marLeft w:val="0"/>
              <w:marRight w:val="0"/>
              <w:marTop w:val="0"/>
              <w:marBottom w:val="0"/>
              <w:divBdr>
                <w:top w:val="none" w:sz="0" w:space="0" w:color="auto"/>
                <w:left w:val="none" w:sz="0" w:space="0" w:color="auto"/>
                <w:bottom w:val="none" w:sz="0" w:space="0" w:color="auto"/>
                <w:right w:val="none" w:sz="0" w:space="0" w:color="auto"/>
              </w:divBdr>
              <w:divsChild>
                <w:div w:id="550505120">
                  <w:marLeft w:val="0"/>
                  <w:marRight w:val="0"/>
                  <w:marTop w:val="0"/>
                  <w:marBottom w:val="0"/>
                  <w:divBdr>
                    <w:top w:val="none" w:sz="0" w:space="0" w:color="auto"/>
                    <w:left w:val="none" w:sz="0" w:space="0" w:color="auto"/>
                    <w:bottom w:val="none" w:sz="0" w:space="0" w:color="auto"/>
                    <w:right w:val="none" w:sz="0" w:space="0" w:color="auto"/>
                  </w:divBdr>
                  <w:divsChild>
                    <w:div w:id="1193959955">
                      <w:marLeft w:val="0"/>
                      <w:marRight w:val="0"/>
                      <w:marTop w:val="0"/>
                      <w:marBottom w:val="0"/>
                      <w:divBdr>
                        <w:top w:val="none" w:sz="0" w:space="0" w:color="auto"/>
                        <w:left w:val="none" w:sz="0" w:space="0" w:color="auto"/>
                        <w:bottom w:val="single" w:sz="18" w:space="26" w:color="555555"/>
                        <w:right w:val="none" w:sz="0" w:space="0" w:color="auto"/>
                      </w:divBdr>
                      <w:divsChild>
                        <w:div w:id="1083721735">
                          <w:marLeft w:val="0"/>
                          <w:marRight w:val="0"/>
                          <w:marTop w:val="0"/>
                          <w:marBottom w:val="0"/>
                          <w:divBdr>
                            <w:top w:val="none" w:sz="0" w:space="0" w:color="auto"/>
                            <w:left w:val="none" w:sz="0" w:space="0" w:color="auto"/>
                            <w:bottom w:val="none" w:sz="0" w:space="0" w:color="auto"/>
                            <w:right w:val="none" w:sz="0" w:space="0" w:color="auto"/>
                          </w:divBdr>
                          <w:divsChild>
                            <w:div w:id="59140474">
                              <w:marLeft w:val="0"/>
                              <w:marRight w:val="0"/>
                              <w:marTop w:val="0"/>
                              <w:marBottom w:val="0"/>
                              <w:divBdr>
                                <w:top w:val="none" w:sz="0" w:space="0" w:color="auto"/>
                                <w:left w:val="none" w:sz="0" w:space="0" w:color="auto"/>
                                <w:bottom w:val="none" w:sz="0" w:space="0" w:color="auto"/>
                                <w:right w:val="none" w:sz="0" w:space="0" w:color="auto"/>
                              </w:divBdr>
                            </w:div>
                            <w:div w:id="98641704">
                              <w:marLeft w:val="0"/>
                              <w:marRight w:val="0"/>
                              <w:marTop w:val="0"/>
                              <w:marBottom w:val="0"/>
                              <w:divBdr>
                                <w:top w:val="none" w:sz="0" w:space="0" w:color="auto"/>
                                <w:left w:val="none" w:sz="0" w:space="0" w:color="auto"/>
                                <w:bottom w:val="none" w:sz="0" w:space="0" w:color="auto"/>
                                <w:right w:val="none" w:sz="0" w:space="0" w:color="auto"/>
                              </w:divBdr>
                            </w:div>
                            <w:div w:id="131097123">
                              <w:marLeft w:val="0"/>
                              <w:marRight w:val="0"/>
                              <w:marTop w:val="0"/>
                              <w:marBottom w:val="0"/>
                              <w:divBdr>
                                <w:top w:val="none" w:sz="0" w:space="0" w:color="auto"/>
                                <w:left w:val="none" w:sz="0" w:space="0" w:color="auto"/>
                                <w:bottom w:val="none" w:sz="0" w:space="0" w:color="auto"/>
                                <w:right w:val="none" w:sz="0" w:space="0" w:color="auto"/>
                              </w:divBdr>
                            </w:div>
                            <w:div w:id="461121126">
                              <w:marLeft w:val="0"/>
                              <w:marRight w:val="0"/>
                              <w:marTop w:val="0"/>
                              <w:marBottom w:val="0"/>
                              <w:divBdr>
                                <w:top w:val="none" w:sz="0" w:space="0" w:color="auto"/>
                                <w:left w:val="none" w:sz="0" w:space="0" w:color="auto"/>
                                <w:bottom w:val="none" w:sz="0" w:space="0" w:color="auto"/>
                                <w:right w:val="none" w:sz="0" w:space="0" w:color="auto"/>
                              </w:divBdr>
                            </w:div>
                            <w:div w:id="505440033">
                              <w:marLeft w:val="0"/>
                              <w:marRight w:val="0"/>
                              <w:marTop w:val="0"/>
                              <w:marBottom w:val="0"/>
                              <w:divBdr>
                                <w:top w:val="none" w:sz="0" w:space="0" w:color="auto"/>
                                <w:left w:val="none" w:sz="0" w:space="0" w:color="auto"/>
                                <w:bottom w:val="none" w:sz="0" w:space="0" w:color="auto"/>
                                <w:right w:val="none" w:sz="0" w:space="0" w:color="auto"/>
                              </w:divBdr>
                            </w:div>
                            <w:div w:id="952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973716">
      <w:bodyDiv w:val="1"/>
      <w:marLeft w:val="0"/>
      <w:marRight w:val="0"/>
      <w:marTop w:val="0"/>
      <w:marBottom w:val="0"/>
      <w:divBdr>
        <w:top w:val="none" w:sz="0" w:space="0" w:color="auto"/>
        <w:left w:val="none" w:sz="0" w:space="0" w:color="auto"/>
        <w:bottom w:val="none" w:sz="0" w:space="0" w:color="auto"/>
        <w:right w:val="none" w:sz="0" w:space="0" w:color="auto"/>
      </w:divBdr>
      <w:divsChild>
        <w:div w:id="2020766908">
          <w:marLeft w:val="0"/>
          <w:marRight w:val="0"/>
          <w:marTop w:val="0"/>
          <w:marBottom w:val="0"/>
          <w:divBdr>
            <w:top w:val="none" w:sz="0" w:space="0" w:color="auto"/>
            <w:left w:val="none" w:sz="0" w:space="0" w:color="auto"/>
            <w:bottom w:val="none" w:sz="0" w:space="0" w:color="auto"/>
            <w:right w:val="none" w:sz="0" w:space="0" w:color="auto"/>
          </w:divBdr>
          <w:divsChild>
            <w:div w:id="199321737">
              <w:marLeft w:val="0"/>
              <w:marRight w:val="0"/>
              <w:marTop w:val="0"/>
              <w:marBottom w:val="0"/>
              <w:divBdr>
                <w:top w:val="none" w:sz="0" w:space="0" w:color="auto"/>
                <w:left w:val="none" w:sz="0" w:space="0" w:color="auto"/>
                <w:bottom w:val="none" w:sz="0" w:space="0" w:color="auto"/>
                <w:right w:val="none" w:sz="0" w:space="0" w:color="auto"/>
              </w:divBdr>
              <w:divsChild>
                <w:div w:id="1993944197">
                  <w:marLeft w:val="0"/>
                  <w:marRight w:val="0"/>
                  <w:marTop w:val="0"/>
                  <w:marBottom w:val="0"/>
                  <w:divBdr>
                    <w:top w:val="none" w:sz="0" w:space="0" w:color="auto"/>
                    <w:left w:val="none" w:sz="0" w:space="0" w:color="auto"/>
                    <w:bottom w:val="none" w:sz="0" w:space="0" w:color="auto"/>
                    <w:right w:val="none" w:sz="0" w:space="0" w:color="auto"/>
                  </w:divBdr>
                  <w:divsChild>
                    <w:div w:id="1589772361">
                      <w:marLeft w:val="0"/>
                      <w:marRight w:val="0"/>
                      <w:marTop w:val="0"/>
                      <w:marBottom w:val="0"/>
                      <w:divBdr>
                        <w:top w:val="none" w:sz="0" w:space="0" w:color="auto"/>
                        <w:left w:val="none" w:sz="0" w:space="0" w:color="auto"/>
                        <w:bottom w:val="single" w:sz="18" w:space="26" w:color="555555"/>
                        <w:right w:val="none" w:sz="0" w:space="0" w:color="auto"/>
                      </w:divBdr>
                      <w:divsChild>
                        <w:div w:id="96680943">
                          <w:marLeft w:val="0"/>
                          <w:marRight w:val="0"/>
                          <w:marTop w:val="0"/>
                          <w:marBottom w:val="0"/>
                          <w:divBdr>
                            <w:top w:val="none" w:sz="0" w:space="0" w:color="auto"/>
                            <w:left w:val="none" w:sz="0" w:space="0" w:color="auto"/>
                            <w:bottom w:val="none" w:sz="0" w:space="0" w:color="auto"/>
                            <w:right w:val="none" w:sz="0" w:space="0" w:color="auto"/>
                          </w:divBdr>
                          <w:divsChild>
                            <w:div w:id="925384445">
                              <w:marLeft w:val="0"/>
                              <w:marRight w:val="0"/>
                              <w:marTop w:val="0"/>
                              <w:marBottom w:val="0"/>
                              <w:divBdr>
                                <w:top w:val="none" w:sz="0" w:space="0" w:color="auto"/>
                                <w:left w:val="none" w:sz="0" w:space="0" w:color="auto"/>
                                <w:bottom w:val="none" w:sz="0" w:space="0" w:color="auto"/>
                                <w:right w:val="none" w:sz="0" w:space="0" w:color="auto"/>
                              </w:divBdr>
                            </w:div>
                            <w:div w:id="1260136846">
                              <w:marLeft w:val="0"/>
                              <w:marRight w:val="0"/>
                              <w:marTop w:val="0"/>
                              <w:marBottom w:val="0"/>
                              <w:divBdr>
                                <w:top w:val="none" w:sz="0" w:space="0" w:color="auto"/>
                                <w:left w:val="none" w:sz="0" w:space="0" w:color="auto"/>
                                <w:bottom w:val="none" w:sz="0" w:space="0" w:color="auto"/>
                                <w:right w:val="none" w:sz="0" w:space="0" w:color="auto"/>
                              </w:divBdr>
                            </w:div>
                            <w:div w:id="1419642452">
                              <w:marLeft w:val="0"/>
                              <w:marRight w:val="0"/>
                              <w:marTop w:val="0"/>
                              <w:marBottom w:val="0"/>
                              <w:divBdr>
                                <w:top w:val="none" w:sz="0" w:space="0" w:color="auto"/>
                                <w:left w:val="none" w:sz="0" w:space="0" w:color="auto"/>
                                <w:bottom w:val="none" w:sz="0" w:space="0" w:color="auto"/>
                                <w:right w:val="none" w:sz="0" w:space="0" w:color="auto"/>
                              </w:divBdr>
                            </w:div>
                            <w:div w:id="1497106613">
                              <w:marLeft w:val="0"/>
                              <w:marRight w:val="0"/>
                              <w:marTop w:val="0"/>
                              <w:marBottom w:val="0"/>
                              <w:divBdr>
                                <w:top w:val="none" w:sz="0" w:space="0" w:color="auto"/>
                                <w:left w:val="none" w:sz="0" w:space="0" w:color="auto"/>
                                <w:bottom w:val="none" w:sz="0" w:space="0" w:color="auto"/>
                                <w:right w:val="none" w:sz="0" w:space="0" w:color="auto"/>
                              </w:divBdr>
                            </w:div>
                            <w:div w:id="20444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C7D37-2252-4C39-B4EB-FEB8110E0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951</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MTCBC</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McIntyre, Janice</dc:creator>
  <cp:lastModifiedBy>Dinham, Ceri</cp:lastModifiedBy>
  <cp:revision>6</cp:revision>
  <cp:lastPrinted>2016-09-29T10:37:00Z</cp:lastPrinted>
  <dcterms:created xsi:type="dcterms:W3CDTF">2016-09-29T09:56:00Z</dcterms:created>
  <dcterms:modified xsi:type="dcterms:W3CDTF">2016-09-29T10:38:00Z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